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497" w:rsidRPr="0011739F" w:rsidRDefault="000D626F" w:rsidP="000D626F">
      <w:pPr>
        <w:pStyle w:val="CABEZA"/>
        <w:rPr>
          <w:rFonts w:cs="Times New Roman"/>
        </w:rPr>
      </w:pPr>
      <w:r w:rsidRPr="0011739F">
        <w:rPr>
          <w:rFonts w:cs="Times New Roman"/>
        </w:rPr>
        <w:t>PODER EJECUTIVO</w:t>
      </w:r>
    </w:p>
    <w:p w:rsidR="000D626F" w:rsidRPr="0011739F" w:rsidRDefault="000D626F" w:rsidP="000D626F">
      <w:pPr>
        <w:pStyle w:val="CABEZA"/>
        <w:pBdr>
          <w:top w:val="single" w:sz="4" w:space="1" w:color="auto"/>
        </w:pBdr>
        <w:ind w:left="2160" w:right="2160"/>
        <w:rPr>
          <w:rFonts w:cs="Times New Roman"/>
        </w:rPr>
      </w:pPr>
      <w:r w:rsidRPr="0011739F">
        <w:rPr>
          <w:rFonts w:cs="Times New Roman"/>
        </w:rPr>
        <w:t>SECRETARIA DE GOBERNACION</w:t>
      </w:r>
    </w:p>
    <w:p w:rsidR="004C28E5" w:rsidRPr="0011739F" w:rsidRDefault="004C28E5" w:rsidP="00D060E4">
      <w:pPr>
        <w:pStyle w:val="Titulo1"/>
        <w:rPr>
          <w:rFonts w:cs="Times New Roman"/>
        </w:rPr>
      </w:pPr>
      <w:r w:rsidRPr="0011739F">
        <w:rPr>
          <w:rFonts w:cs="Times New Roman"/>
        </w:rPr>
        <w:t xml:space="preserve">DECRETO por el que se reforman diversas disposiciones de la Ley Reglamentaria del </w:t>
      </w:r>
      <w:r w:rsidR="006270F3" w:rsidRPr="0011739F">
        <w:rPr>
          <w:rFonts w:cs="Times New Roman"/>
        </w:rPr>
        <w:t xml:space="preserve">Artículo </w:t>
      </w:r>
      <w:r w:rsidRPr="0011739F">
        <w:rPr>
          <w:rFonts w:cs="Times New Roman"/>
        </w:rPr>
        <w:t xml:space="preserve">5o. Constitucional relativo al ejercicio de las profesiones en el Distrito Federal, la Ley del Sistema Nacional de Información Estadística y Geográfica, la Ley General para Prevenir y Sancionar los Delitos en Materia de Secuestro, Reglamentaria de la fracción XXI del </w:t>
      </w:r>
      <w:r w:rsidR="006270F3" w:rsidRPr="0011739F">
        <w:rPr>
          <w:rFonts w:cs="Times New Roman"/>
        </w:rPr>
        <w:t xml:space="preserve">Artículo </w:t>
      </w:r>
      <w:r w:rsidRPr="0011739F">
        <w:rPr>
          <w:rFonts w:cs="Times New Roman"/>
        </w:rPr>
        <w:t>73 de la Constitución Política de los Estados Unidos Mexicanos,</w:t>
      </w:r>
      <w:r w:rsidR="0011739F" w:rsidRPr="0011739F">
        <w:rPr>
          <w:rFonts w:cs="Times New Roman"/>
        </w:rPr>
        <w:t xml:space="preserve"> </w:t>
      </w:r>
      <w:r w:rsidRPr="0011739F">
        <w:rPr>
          <w:rFonts w:cs="Times New Roman"/>
        </w:rPr>
        <w:t>la Ley General para Prevenir, Sancionar y Erradicar los Delitos en Materia de Trata de Personas y para la Protección y Asistencia a las Víctimas de estos Delitos, la Ley General en Materia de Delitos Electorales, la Ley General del Sistema de Medios de Impugnación en Materia Electoral, la Ley General de Educación, la Ley General del Servicio Profesional Docente, la Ley General de la Infraestructura Física Educativa, la Ley General de Bibliotecas, la Ley General de Contabilidad Gubernamental, la Ley General del Equilibrio Ecológico y la Protección al Ambiente, la Ley General de Desarrollo Forestal Sustentable, la Ley General de Vida Silvestre,</w:t>
      </w:r>
      <w:r w:rsidR="0011739F" w:rsidRPr="0011739F">
        <w:rPr>
          <w:rFonts w:cs="Times New Roman"/>
        </w:rPr>
        <w:t xml:space="preserve"> </w:t>
      </w:r>
      <w:r w:rsidRPr="0011739F">
        <w:rPr>
          <w:rFonts w:cs="Times New Roman"/>
        </w:rPr>
        <w:t xml:space="preserve">la Ley General para la Prevención y Gestión Integral de los Residuos, la Ley General de Cambio Climático, la Ley General de Pesca y Acuacultura Sustentables, la Ley General de Bienes Nacionales, la Ley General de Protección Civil, la Ley General de Cultura Física y Deporte, la Ley General de Sociedades Cooperativas, la Ley Federal sobre Monumentos y Zonas Arqueológicos, Artísticos e Históricos, la Ley de Fomento para la Lectura y el Libro, y la Ley Federal de Archivos, en </w:t>
      </w:r>
      <w:r w:rsidR="00A8433F" w:rsidRPr="0011739F">
        <w:rPr>
          <w:rFonts w:cs="Times New Roman"/>
        </w:rPr>
        <w:t xml:space="preserve">Materia </w:t>
      </w:r>
      <w:r w:rsidRPr="0011739F">
        <w:rPr>
          <w:rFonts w:cs="Times New Roman"/>
        </w:rPr>
        <w:t xml:space="preserve">de </w:t>
      </w:r>
      <w:r w:rsidR="00A8433F" w:rsidRPr="0011739F">
        <w:rPr>
          <w:rFonts w:cs="Times New Roman"/>
        </w:rPr>
        <w:t xml:space="preserve">Reconocimiento </w:t>
      </w:r>
      <w:r w:rsidRPr="0011739F">
        <w:rPr>
          <w:rFonts w:cs="Times New Roman"/>
        </w:rPr>
        <w:t>de la Ciudad de México como entidad federativa, sustitución del nombre de Distrito Federal y definición, en su caso, de las facultades concurrentes para las demarcaciones territoriales.</w:t>
      </w:r>
    </w:p>
    <w:p w:rsidR="004C28E5" w:rsidRPr="0011739F" w:rsidRDefault="004C28E5">
      <w:pPr>
        <w:pStyle w:val="Titulo2"/>
      </w:pPr>
      <w:r w:rsidRPr="0011739F">
        <w:t>Al margen un sello con el Escudo Nacional, que dice: Estados Unidos Mexicanos.- Presidencia</w:t>
      </w:r>
      <w:r w:rsidR="0011739F" w:rsidRPr="0011739F">
        <w:t xml:space="preserve"> </w:t>
      </w:r>
      <w:r w:rsidRPr="0011739F">
        <w:t>de la República.</w:t>
      </w:r>
    </w:p>
    <w:p w:rsidR="004C28E5" w:rsidRDefault="004C28E5" w:rsidP="004C28E5">
      <w:pPr>
        <w:pStyle w:val="Texto"/>
        <w:spacing w:line="241" w:lineRule="exact"/>
        <w:rPr>
          <w:lang w:val="es-MX"/>
        </w:rPr>
      </w:pPr>
      <w:r w:rsidRPr="00997D64">
        <w:rPr>
          <w:b/>
          <w:lang w:val="es-MX"/>
        </w:rPr>
        <w:t>ENRIQUE PEÑA NIETO</w:t>
      </w:r>
      <w:r w:rsidRPr="00997D64">
        <w:rPr>
          <w:lang w:val="es-MX"/>
        </w:rPr>
        <w:t>, Presidente de los Estados Unidos Mexicanos, a sus habitantes sabed:</w:t>
      </w:r>
    </w:p>
    <w:p w:rsidR="004C28E5" w:rsidRDefault="004C28E5" w:rsidP="004C28E5">
      <w:pPr>
        <w:pStyle w:val="Texto"/>
        <w:spacing w:line="241" w:lineRule="exact"/>
        <w:rPr>
          <w:lang w:val="es-MX"/>
        </w:rPr>
      </w:pPr>
      <w:r w:rsidRPr="00997D64">
        <w:rPr>
          <w:lang w:val="es-MX"/>
        </w:rPr>
        <w:t>Que el Honorable Congreso de la Unión, se ha servido dirigirme el siguiente</w:t>
      </w:r>
    </w:p>
    <w:p w:rsidR="004C28E5" w:rsidRDefault="004C28E5" w:rsidP="004C28E5">
      <w:pPr>
        <w:pStyle w:val="ANOTACION"/>
        <w:spacing w:line="241" w:lineRule="exact"/>
      </w:pPr>
      <w:r w:rsidRPr="00997D64">
        <w:t>D E C R E T O</w:t>
      </w:r>
    </w:p>
    <w:p w:rsidR="004C28E5" w:rsidRPr="00997D64" w:rsidRDefault="004C28E5" w:rsidP="004C28E5">
      <w:pPr>
        <w:pStyle w:val="Texto"/>
        <w:spacing w:line="241" w:lineRule="exact"/>
        <w:rPr>
          <w:b/>
          <w:sz w:val="16"/>
          <w:szCs w:val="16"/>
        </w:rPr>
      </w:pPr>
      <w:r w:rsidRPr="00997D64">
        <w:rPr>
          <w:b/>
          <w:sz w:val="16"/>
          <w:szCs w:val="16"/>
        </w:rPr>
        <w:t>"EL CONGRESO GENERAL DE LOS ESTADOS UNIDOS MEXICANOS, DECRETA:</w:t>
      </w:r>
    </w:p>
    <w:p w:rsidR="004C28E5" w:rsidRPr="00997D64" w:rsidRDefault="004C28E5" w:rsidP="004C28E5">
      <w:pPr>
        <w:pStyle w:val="Texto"/>
        <w:spacing w:line="241" w:lineRule="exact"/>
        <w:rPr>
          <w:b/>
          <w:sz w:val="16"/>
          <w:szCs w:val="16"/>
        </w:rPr>
      </w:pPr>
      <w:r w:rsidRPr="00997D64">
        <w:rPr>
          <w:b/>
          <w:sz w:val="16"/>
          <w:szCs w:val="16"/>
        </w:rPr>
        <w:t>SE REFORMAN DIVERSAS DISPOSICIONES DE LA LEY REGLAMENTARIA DEL ARTÍCULO 5o. CONSTITUCIONAL RELATIVO AL EJERCICIO DE LAS PROFESIONES EN EL DISTRITO FEDERAL, LA LEY DEL SISTEMA NACIONAL DE INFORMACIÓN ESTADÍSTICA Y GEOGRÁFICA,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LA LEY GENERAL EN MATERIA DE DELITOS ELECTORALES, LA LEY GENERAL DEL SISTEMA DE MEDIOS DE IMPUGNACIÓN EN MATERIA ELECTORAL, LA LEY GENERAL DE EDUCACIÓN, LA LEY GENERAL DEL SERVICIO PROFESIONAL DOCENTE, LA LEY GENERAL DE LA INFRAESTRUCTURA FÍSICA EDUCATIVA, LA LEY GENERAL DE BIBLIOTECAS, LA LEY GENERAL DE CONTABILIDAD GUBERNAMENTAL, LA LEY GENERAL DEL EQUILIBRIO ECOLÓGICO Y LA PROTECCIÓN AL AMBIENTE, LA LEY GENERAL DE DESARROLLO FORESTAL SUSTENTABLE, LA LEY GENERAL DE VIDA SILVESTRE, LA LEY GENERAL PARA LA PREVENCIÓN Y GESTIÓN INTEGRAL DE LOS RESIDUOS, LA LEY GENERAL DE CAMBIO CLIMÁTICO, LA LEY GENERAL DE PESCA Y ACUACULTURA SUSTENTABLES, LA LEY GENERAL DE BIENES NACIONALES, LA LEY GENERAL DE PROTECCIÓN CIVIL, LA LEY GENERAL DE CULTURA FÍSICA Y DEPORTE, LA LEY GENERAL DE SOCIEDADES COOPERATIVAS, LA LEY FEDERAL SOBRE MONUMENTOS Y ZONAS ARQUEOLÓGICOS, ARTÍSTICOS E HISTÓRICOS, LA LEY DE FOMENTO PARA LA LECTURA Y EL LIBRO, Y LA LEY FEDERAL DE ARCHIVOS, EN MATERIA DE RECONOCIMIENTO DE LA CIUDAD DE MÉXICO COMO ENTIDAD FEDERATIVA, SUSTITUCIÓN DEL NOMBRE DE DISTRITO FEDERAL Y DEFINICIÓN, EN SU CASO, DE LAS FACULTADES CONCURRENTES PARA LAS DEMARCACIONES TERRITORIALES.</w:t>
      </w:r>
    </w:p>
    <w:p w:rsidR="00BA3CA9" w:rsidRDefault="00BA3CA9" w:rsidP="000109C3">
      <w:pPr>
        <w:pStyle w:val="Texto"/>
        <w:spacing w:after="76"/>
        <w:rPr>
          <w:b/>
          <w:lang w:val="es-MX"/>
        </w:rPr>
      </w:pPr>
    </w:p>
    <w:p w:rsidR="00BA3CA9" w:rsidRDefault="00BA3CA9" w:rsidP="000109C3">
      <w:pPr>
        <w:pStyle w:val="Texto"/>
        <w:spacing w:after="76"/>
        <w:rPr>
          <w:b/>
          <w:lang w:val="es-MX"/>
        </w:rPr>
      </w:pPr>
    </w:p>
    <w:p w:rsidR="00BA3CA9" w:rsidRDefault="00BA3CA9" w:rsidP="000109C3">
      <w:pPr>
        <w:pStyle w:val="Texto"/>
        <w:spacing w:after="76"/>
        <w:rPr>
          <w:b/>
          <w:lang w:val="es-MX"/>
        </w:rPr>
      </w:pPr>
    </w:p>
    <w:p w:rsidR="00BA3CA9" w:rsidRDefault="00BA3CA9" w:rsidP="000109C3">
      <w:pPr>
        <w:pStyle w:val="Texto"/>
        <w:spacing w:after="76"/>
        <w:rPr>
          <w:b/>
          <w:lang w:val="es-MX"/>
        </w:rPr>
      </w:pPr>
    </w:p>
    <w:p w:rsidR="00BA3CA9" w:rsidRDefault="00BA3CA9" w:rsidP="000109C3">
      <w:pPr>
        <w:pStyle w:val="Texto"/>
        <w:spacing w:after="76"/>
        <w:rPr>
          <w:b/>
          <w:lang w:val="es-MX"/>
        </w:rPr>
      </w:pPr>
    </w:p>
    <w:p w:rsidR="004C28E5" w:rsidRDefault="004C28E5" w:rsidP="000109C3">
      <w:pPr>
        <w:pStyle w:val="Texto"/>
        <w:spacing w:after="76"/>
        <w:rPr>
          <w:lang w:val="es-MX"/>
        </w:rPr>
      </w:pPr>
      <w:r w:rsidRPr="00997D64">
        <w:rPr>
          <w:b/>
          <w:lang w:val="es-MX"/>
        </w:rPr>
        <w:t xml:space="preserve">Artículo Décimo Primero.- </w:t>
      </w:r>
      <w:r w:rsidRPr="00997D64">
        <w:rPr>
          <w:lang w:val="es-MX"/>
        </w:rPr>
        <w:t>Se reforman los artículos 1, tercer párrafo; 4, fracciones IX y X; 8, fracción VII y el tercer párrafo; 37, fracción II; 48; 68, párrafo segundo; 76; 79, tercer párrafo; 80, tercer párrafo; 81; 82;</w:t>
      </w:r>
      <w:r w:rsidR="0011739F">
        <w:rPr>
          <w:lang w:val="es-MX"/>
        </w:rPr>
        <w:t xml:space="preserve"> </w:t>
      </w:r>
      <w:r w:rsidRPr="00997D64">
        <w:rPr>
          <w:lang w:val="es-MX"/>
        </w:rPr>
        <w:t>83 y 84, primer párrafo de la Ley General de Contabilidad Gubernamental, para quedar como sigue:</w:t>
      </w:r>
    </w:p>
    <w:p w:rsidR="004C28E5" w:rsidRDefault="004C28E5" w:rsidP="000109C3">
      <w:pPr>
        <w:pStyle w:val="Texto"/>
        <w:spacing w:after="76"/>
        <w:rPr>
          <w:b/>
          <w:lang w:val="es-MX"/>
        </w:rPr>
      </w:pPr>
      <w:r w:rsidRPr="00997D64">
        <w:rPr>
          <w:b/>
          <w:lang w:val="es-MX"/>
        </w:rPr>
        <w:lastRenderedPageBreak/>
        <w:t>Artículo 1.</w:t>
      </w:r>
      <w:proofErr w:type="gramStart"/>
      <w:r w:rsidRPr="00997D64">
        <w:rPr>
          <w:b/>
          <w:lang w:val="es-MX"/>
        </w:rPr>
        <w:t>- ...</w:t>
      </w:r>
      <w:proofErr w:type="gramEnd"/>
    </w:p>
    <w:p w:rsidR="004C28E5" w:rsidRDefault="004C28E5" w:rsidP="000109C3">
      <w:pPr>
        <w:pStyle w:val="Texto"/>
        <w:spacing w:after="76"/>
        <w:rPr>
          <w:b/>
          <w:lang w:val="es-MX"/>
        </w:rPr>
      </w:pPr>
      <w:r w:rsidRPr="00997D64">
        <w:rPr>
          <w:b/>
          <w:lang w:val="es-MX"/>
        </w:rPr>
        <w:t>...</w:t>
      </w:r>
    </w:p>
    <w:p w:rsidR="004C28E5" w:rsidRDefault="004C28E5" w:rsidP="000109C3">
      <w:pPr>
        <w:pStyle w:val="Texto"/>
        <w:spacing w:after="76"/>
        <w:rPr>
          <w:lang w:val="es-MX"/>
        </w:rPr>
      </w:pPr>
      <w:r w:rsidRPr="00997D64">
        <w:rPr>
          <w:lang w:val="es-MX"/>
        </w:rPr>
        <w:t>Los gobiernos estatales deberán coordinarse con los municipales para que éstos armonicen su contabilidad con base en las disposiciones de esta Ley. El Gobierno de la Ciudad de México</w:t>
      </w:r>
      <w:r w:rsidRPr="00997D64">
        <w:rPr>
          <w:b/>
          <w:lang w:val="es-MX"/>
        </w:rPr>
        <w:t xml:space="preserve"> </w:t>
      </w:r>
      <w:r w:rsidRPr="00997D64">
        <w:rPr>
          <w:lang w:val="es-MX"/>
        </w:rPr>
        <w:t>deberá coordinarse con los órganos político-administrativos de sus demarcaciones territoriales. Las entidades federativas deberán respetar los derechos de los municipios con población indígena, entre los cuales se encuentran el derecho a decidir las formas internas de convivencia política y el derecho a elegir, conforme a sus normas y, en su caso, costumbres, a las autoridades o representantes para el ejercicio de sus propias formas de gobierno interno.</w:t>
      </w:r>
    </w:p>
    <w:p w:rsidR="004C28E5" w:rsidRDefault="004C28E5" w:rsidP="000109C3">
      <w:pPr>
        <w:pStyle w:val="Texto"/>
        <w:spacing w:after="76"/>
        <w:rPr>
          <w:b/>
          <w:lang w:val="es-MX"/>
        </w:rPr>
      </w:pPr>
      <w:r w:rsidRPr="00997D64">
        <w:rPr>
          <w:b/>
          <w:lang w:val="es-MX"/>
        </w:rPr>
        <w:t>Artículo 4.</w:t>
      </w:r>
      <w:proofErr w:type="gramStart"/>
      <w:r w:rsidRPr="00997D64">
        <w:rPr>
          <w:b/>
          <w:lang w:val="es-MX"/>
        </w:rPr>
        <w:t>- ...</w:t>
      </w:r>
      <w:proofErr w:type="gramEnd"/>
    </w:p>
    <w:p w:rsidR="004C28E5" w:rsidRDefault="004C28E5" w:rsidP="000109C3">
      <w:pPr>
        <w:pStyle w:val="Texto"/>
        <w:spacing w:after="76"/>
        <w:rPr>
          <w:b/>
          <w:lang w:val="es-MX"/>
        </w:rPr>
      </w:pPr>
      <w:r w:rsidRPr="00997D64">
        <w:rPr>
          <w:b/>
          <w:lang w:val="es-MX"/>
        </w:rPr>
        <w:t>I.</w:t>
      </w:r>
      <w:r w:rsidRPr="00997D64">
        <w:rPr>
          <w:lang w:val="es-MX"/>
        </w:rPr>
        <w:t xml:space="preserve"> a </w:t>
      </w:r>
      <w:r w:rsidRPr="00997D64">
        <w:rPr>
          <w:b/>
          <w:lang w:val="es-MX"/>
        </w:rPr>
        <w:t>VIII. ...</w:t>
      </w:r>
    </w:p>
    <w:p w:rsidR="004C28E5" w:rsidRDefault="004C28E5" w:rsidP="000109C3">
      <w:pPr>
        <w:pStyle w:val="Texto"/>
        <w:spacing w:after="76"/>
        <w:rPr>
          <w:lang w:val="es-MX"/>
        </w:rPr>
      </w:pPr>
      <w:r w:rsidRPr="00997D64">
        <w:rPr>
          <w:b/>
          <w:lang w:val="es-MX"/>
        </w:rPr>
        <w:t xml:space="preserve">IX. </w:t>
      </w:r>
      <w:r w:rsidRPr="00997D64">
        <w:rPr>
          <w:lang w:val="es-MX"/>
        </w:rPr>
        <w:t>Cuenta pública: el documento a que se refiere el artículo 74, fracción VI de la Constitución Política de los Estados Unidos Mexicanos; así como el informe que, conforme a las constituciones locales, rinden las entidades federativas</w:t>
      </w:r>
      <w:r w:rsidRPr="00997D64">
        <w:rPr>
          <w:b/>
          <w:lang w:val="es-MX"/>
        </w:rPr>
        <w:t xml:space="preserve"> </w:t>
      </w:r>
      <w:r w:rsidRPr="00997D64">
        <w:rPr>
          <w:lang w:val="es-MX"/>
        </w:rPr>
        <w:t>y los municipios;</w:t>
      </w:r>
    </w:p>
    <w:p w:rsidR="004C28E5" w:rsidRDefault="004C28E5" w:rsidP="000109C3">
      <w:pPr>
        <w:pStyle w:val="Texto"/>
        <w:spacing w:after="76"/>
        <w:rPr>
          <w:lang w:val="es-MX"/>
        </w:rPr>
      </w:pPr>
      <w:r w:rsidRPr="00997D64">
        <w:rPr>
          <w:b/>
          <w:lang w:val="es-MX"/>
        </w:rPr>
        <w:t xml:space="preserve">X. </w:t>
      </w:r>
      <w:r w:rsidRPr="00997D64">
        <w:rPr>
          <w:lang w:val="es-MX"/>
        </w:rPr>
        <w:t>Deuda pública: las obligaciones de pasivo, directas o contingentes, derivadas de financiamientos a cargo de los gobiernos federal, de las entidades federativas o municipales, en términos de las disposiciones legales aplicables, sin perjuicio de que dichas obligaciones tengan como propósito operaciones de canje o refinanciamiento;</w:t>
      </w:r>
    </w:p>
    <w:p w:rsidR="004C28E5" w:rsidRDefault="004C28E5" w:rsidP="000109C3">
      <w:pPr>
        <w:pStyle w:val="Texto"/>
        <w:spacing w:after="76"/>
        <w:rPr>
          <w:b/>
          <w:lang w:val="es-MX"/>
        </w:rPr>
      </w:pPr>
      <w:r w:rsidRPr="00997D64">
        <w:rPr>
          <w:b/>
          <w:lang w:val="es-MX"/>
        </w:rPr>
        <w:t xml:space="preserve">XI. </w:t>
      </w:r>
      <w:r w:rsidRPr="00997D64">
        <w:rPr>
          <w:lang w:val="es-MX"/>
        </w:rPr>
        <w:t xml:space="preserve">a </w:t>
      </w:r>
      <w:r w:rsidRPr="00997D64">
        <w:rPr>
          <w:b/>
          <w:lang w:val="es-MX"/>
        </w:rPr>
        <w:t>XXIX. ...</w:t>
      </w:r>
    </w:p>
    <w:p w:rsidR="004C28E5" w:rsidRDefault="004C28E5" w:rsidP="000109C3">
      <w:pPr>
        <w:pStyle w:val="Texto"/>
        <w:spacing w:after="76"/>
        <w:rPr>
          <w:b/>
          <w:lang w:val="es-MX"/>
        </w:rPr>
      </w:pPr>
      <w:r w:rsidRPr="00997D64">
        <w:rPr>
          <w:b/>
          <w:lang w:val="es-MX"/>
        </w:rPr>
        <w:t>Artículo 8.</w:t>
      </w:r>
      <w:proofErr w:type="gramStart"/>
      <w:r w:rsidRPr="00997D64">
        <w:rPr>
          <w:b/>
          <w:lang w:val="es-MX"/>
        </w:rPr>
        <w:t>- ...</w:t>
      </w:r>
      <w:proofErr w:type="gramEnd"/>
    </w:p>
    <w:p w:rsidR="004C28E5" w:rsidRDefault="004C28E5" w:rsidP="000109C3">
      <w:pPr>
        <w:pStyle w:val="Texto"/>
        <w:spacing w:after="76"/>
        <w:rPr>
          <w:b/>
          <w:lang w:val="es-MX"/>
        </w:rPr>
      </w:pPr>
      <w:r w:rsidRPr="00997D64">
        <w:rPr>
          <w:b/>
          <w:lang w:val="es-MX"/>
        </w:rPr>
        <w:t>I.</w:t>
      </w:r>
      <w:r w:rsidRPr="00997D64">
        <w:rPr>
          <w:lang w:val="es-MX"/>
        </w:rPr>
        <w:t xml:space="preserve"> a </w:t>
      </w:r>
      <w:r w:rsidRPr="00997D64">
        <w:rPr>
          <w:b/>
          <w:lang w:val="es-MX"/>
        </w:rPr>
        <w:t>VI. ...</w:t>
      </w:r>
    </w:p>
    <w:p w:rsidR="004C28E5" w:rsidRDefault="004C28E5" w:rsidP="000109C3">
      <w:pPr>
        <w:pStyle w:val="Texto"/>
        <w:spacing w:after="76"/>
        <w:rPr>
          <w:lang w:val="es-MX"/>
        </w:rPr>
      </w:pPr>
      <w:r w:rsidRPr="00997D64">
        <w:rPr>
          <w:b/>
          <w:lang w:val="es-MX"/>
        </w:rPr>
        <w:t xml:space="preserve">VII. </w:t>
      </w:r>
      <w:r w:rsidRPr="00997D64">
        <w:rPr>
          <w:lang w:val="es-MX"/>
        </w:rPr>
        <w:t>Dos representantes de los ayuntamientos de los municipios o de los órganos político-administrativos de las demarcaciones territoriales de la Ciudad de México elegidos por los otros miembros del consejo, quienes deberán ser servidores públicos con atribuciones en materia de contabilidad gubernamental del ayuntamiento u órgano político-administrativo de las demarcaciones territoriales de la Ciudad de México que corresponda, y</w:t>
      </w:r>
    </w:p>
    <w:p w:rsidR="004C28E5" w:rsidRDefault="004C28E5" w:rsidP="000109C3">
      <w:pPr>
        <w:pStyle w:val="Texto"/>
        <w:spacing w:after="76"/>
        <w:rPr>
          <w:b/>
          <w:lang w:val="es-MX"/>
        </w:rPr>
      </w:pPr>
      <w:r w:rsidRPr="00997D64">
        <w:rPr>
          <w:b/>
          <w:lang w:val="es-MX"/>
        </w:rPr>
        <w:t>VIII</w:t>
      </w:r>
      <w:proofErr w:type="gramStart"/>
      <w:r w:rsidRPr="00997D64">
        <w:rPr>
          <w:b/>
          <w:lang w:val="es-MX"/>
        </w:rPr>
        <w:t>. ...</w:t>
      </w:r>
      <w:proofErr w:type="gramEnd"/>
    </w:p>
    <w:p w:rsidR="004C28E5" w:rsidRDefault="004C28E5" w:rsidP="000109C3">
      <w:pPr>
        <w:pStyle w:val="Texto"/>
        <w:spacing w:after="76"/>
        <w:rPr>
          <w:b/>
          <w:lang w:val="es-MX"/>
        </w:rPr>
      </w:pPr>
      <w:r w:rsidRPr="00997D64">
        <w:rPr>
          <w:b/>
          <w:lang w:val="es-MX"/>
        </w:rPr>
        <w:t>...</w:t>
      </w:r>
    </w:p>
    <w:p w:rsidR="004C28E5" w:rsidRDefault="004C28E5" w:rsidP="000109C3">
      <w:pPr>
        <w:pStyle w:val="Texto"/>
        <w:spacing w:after="76"/>
        <w:rPr>
          <w:lang w:val="es-MX"/>
        </w:rPr>
      </w:pPr>
      <w:r w:rsidRPr="00997D64">
        <w:rPr>
          <w:lang w:val="es-MX"/>
        </w:rPr>
        <w:t>Los cuatro titulares del Ejecutivo de las entidades federativas, así como el representante de los municipios y demarcaciones territoriales de la Ciudad de México durarán en su encargo 2 años. Los gobernadores ocuparán sus puestos en el consejo y serán sustituidos, en el orden alfabético de las entidades federativas que integren los respectivos grupos.</w:t>
      </w:r>
    </w:p>
    <w:p w:rsidR="004C28E5" w:rsidRDefault="004C28E5" w:rsidP="000109C3">
      <w:pPr>
        <w:pStyle w:val="Texto"/>
        <w:spacing w:after="76"/>
        <w:rPr>
          <w:b/>
          <w:lang w:val="es-MX"/>
        </w:rPr>
      </w:pPr>
      <w:r w:rsidRPr="00997D64">
        <w:rPr>
          <w:b/>
          <w:lang w:val="es-MX"/>
        </w:rPr>
        <w:t>...</w:t>
      </w:r>
    </w:p>
    <w:p w:rsidR="004C28E5" w:rsidRDefault="004C28E5" w:rsidP="000109C3">
      <w:pPr>
        <w:pStyle w:val="Texto"/>
        <w:spacing w:line="224" w:lineRule="exact"/>
        <w:rPr>
          <w:b/>
          <w:lang w:val="es-MX"/>
        </w:rPr>
      </w:pPr>
      <w:r w:rsidRPr="00997D64">
        <w:rPr>
          <w:b/>
          <w:lang w:val="es-MX"/>
        </w:rPr>
        <w:t>Artículo 37.</w:t>
      </w:r>
      <w:proofErr w:type="gramStart"/>
      <w:r w:rsidRPr="00997D64">
        <w:rPr>
          <w:b/>
          <w:lang w:val="es-MX"/>
        </w:rPr>
        <w:t>- ...</w:t>
      </w:r>
      <w:proofErr w:type="gramEnd"/>
    </w:p>
    <w:p w:rsidR="004C28E5" w:rsidRDefault="004C28E5" w:rsidP="000109C3">
      <w:pPr>
        <w:pStyle w:val="Texto"/>
        <w:spacing w:line="224" w:lineRule="exact"/>
        <w:rPr>
          <w:b/>
          <w:lang w:val="es-MX"/>
        </w:rPr>
      </w:pPr>
      <w:proofErr w:type="gramStart"/>
      <w:r w:rsidRPr="00997D64">
        <w:rPr>
          <w:b/>
          <w:lang w:val="es-MX"/>
        </w:rPr>
        <w:t>I.</w:t>
      </w:r>
      <w:proofErr w:type="gramEnd"/>
      <w:r w:rsidRPr="00997D64">
        <w:rPr>
          <w:b/>
          <w:lang w:val="es-MX"/>
        </w:rPr>
        <w:t xml:space="preserve"> ...</w:t>
      </w:r>
    </w:p>
    <w:p w:rsidR="004C28E5" w:rsidRDefault="004C28E5" w:rsidP="000109C3">
      <w:pPr>
        <w:pStyle w:val="Texto"/>
        <w:spacing w:line="224" w:lineRule="exact"/>
        <w:rPr>
          <w:lang w:val="es-MX"/>
        </w:rPr>
      </w:pPr>
      <w:r w:rsidRPr="00997D64">
        <w:rPr>
          <w:b/>
          <w:lang w:val="es-MX"/>
        </w:rPr>
        <w:t xml:space="preserve">II. </w:t>
      </w:r>
      <w:r w:rsidRPr="00997D64">
        <w:rPr>
          <w:lang w:val="es-MX"/>
        </w:rPr>
        <w:t>En el caso de la administración centralizada de las entidades federativas, municipios, demarcaciones territoriales de la Ciudad de México y sus respectivas entidades paraestatales, la unidad administrativa competente en materia de contabilidad gubernamental que corresponda en cada caso.</w:t>
      </w:r>
    </w:p>
    <w:p w:rsidR="004C28E5" w:rsidRDefault="004C28E5" w:rsidP="000109C3">
      <w:pPr>
        <w:pStyle w:val="Texto"/>
        <w:spacing w:line="224" w:lineRule="exact"/>
      </w:pPr>
      <w:r w:rsidRPr="00997D64">
        <w:rPr>
          <w:b/>
        </w:rPr>
        <w:t xml:space="preserve">Artículo 48.- </w:t>
      </w:r>
      <w:r w:rsidRPr="00997D64">
        <w:t>En lo relativo a los ayuntamientos de los municipios o los órganos político-administrativos de las demarcaciones territoriales de la Ciudad de México y las entidades de la Administración Pública Paraestatal municipal, los sistemas deberán producir, como mínimo, la información contable y presupuestaria a que se refiere el artículo 46, fracciones I, incisos a), b), c), d), e), g) y h), y II, incisos a) y b) de la presente Ley.</w:t>
      </w:r>
    </w:p>
    <w:p w:rsidR="004C28E5" w:rsidRDefault="004C28E5" w:rsidP="000109C3">
      <w:pPr>
        <w:pStyle w:val="Texto"/>
        <w:spacing w:line="224" w:lineRule="exact"/>
        <w:rPr>
          <w:b/>
          <w:lang w:val="es-MX"/>
        </w:rPr>
      </w:pPr>
      <w:r w:rsidRPr="00997D64">
        <w:rPr>
          <w:b/>
          <w:lang w:val="es-MX"/>
        </w:rPr>
        <w:t>Artículo 68.</w:t>
      </w:r>
      <w:proofErr w:type="gramStart"/>
      <w:r w:rsidRPr="00997D64">
        <w:rPr>
          <w:b/>
          <w:lang w:val="es-MX"/>
        </w:rPr>
        <w:t>- ...</w:t>
      </w:r>
      <w:proofErr w:type="gramEnd"/>
    </w:p>
    <w:p w:rsidR="004C28E5" w:rsidRDefault="004C28E5" w:rsidP="000109C3">
      <w:pPr>
        <w:pStyle w:val="Texto"/>
        <w:spacing w:line="224" w:lineRule="exact"/>
        <w:rPr>
          <w:lang w:val="es-MX"/>
        </w:rPr>
      </w:pPr>
      <w:r w:rsidRPr="00997D64">
        <w:rPr>
          <w:lang w:val="es-MX"/>
        </w:rPr>
        <w:t>Las entidades federativas, los municipios y las demarcaciones territoriales de la Ciudad de México se sujetarán en la presentación de la información financiera, a esta Ley y a las disposiciones jurídicas aplicables. Por lo que se refiere a los recursos federales transferidos a dichos órdenes de gobierno, observarán las disposiciones específicas de las leyes citadas en el párrafo anterior y de la Ley de Coordinación Fiscal, así como las disposiciones del presente Capítulo.</w:t>
      </w:r>
    </w:p>
    <w:p w:rsidR="004C28E5" w:rsidRDefault="004C28E5" w:rsidP="000109C3">
      <w:pPr>
        <w:pStyle w:val="Texto"/>
        <w:spacing w:line="224" w:lineRule="exact"/>
        <w:rPr>
          <w:b/>
          <w:lang w:val="es-MX"/>
        </w:rPr>
      </w:pPr>
      <w:r w:rsidRPr="00997D64">
        <w:rPr>
          <w:b/>
          <w:lang w:val="es-MX"/>
        </w:rPr>
        <w:t>...</w:t>
      </w:r>
    </w:p>
    <w:p w:rsidR="004C28E5" w:rsidRDefault="004C28E5" w:rsidP="000109C3">
      <w:pPr>
        <w:pStyle w:val="Texto"/>
        <w:spacing w:line="224" w:lineRule="exact"/>
        <w:rPr>
          <w:lang w:val="es-MX"/>
        </w:rPr>
      </w:pPr>
      <w:r w:rsidRPr="00997D64">
        <w:rPr>
          <w:b/>
          <w:lang w:val="es-MX"/>
        </w:rPr>
        <w:t xml:space="preserve">Artículo 76.- </w:t>
      </w:r>
      <w:r w:rsidRPr="00997D64">
        <w:rPr>
          <w:lang w:val="es-MX"/>
        </w:rPr>
        <w:t xml:space="preserve">Los municipios, las demarcaciones territoriales de la Ciudad de México y en su caso, las entidades federativas, previo convenio de colaboración administrativa, difundirán en Internet la información </w:t>
      </w:r>
      <w:r w:rsidRPr="00997D64">
        <w:rPr>
          <w:lang w:val="es-MX"/>
        </w:rPr>
        <w:lastRenderedPageBreak/>
        <w:t>relativa al Fondo de Aportaciones para el Fortalecimiento de los Municipios y de las Demarcaciones Territoriales de la Ciudad de México, especificando cada uno de los destinos señalados para dicho Fondo en la Ley de Coordinación Fiscal.</w:t>
      </w:r>
    </w:p>
    <w:p w:rsidR="004C28E5" w:rsidRDefault="004C28E5" w:rsidP="000109C3">
      <w:pPr>
        <w:pStyle w:val="Texto"/>
        <w:spacing w:line="224" w:lineRule="exact"/>
        <w:rPr>
          <w:b/>
          <w:lang w:val="es-MX"/>
        </w:rPr>
      </w:pPr>
      <w:r w:rsidRPr="00997D64">
        <w:rPr>
          <w:b/>
          <w:lang w:val="es-MX"/>
        </w:rPr>
        <w:t>Artículo 79.</w:t>
      </w:r>
      <w:proofErr w:type="gramStart"/>
      <w:r w:rsidRPr="00997D64">
        <w:rPr>
          <w:b/>
          <w:lang w:val="es-MX"/>
        </w:rPr>
        <w:t>- ...</w:t>
      </w:r>
      <w:proofErr w:type="gramEnd"/>
    </w:p>
    <w:p w:rsidR="004C28E5" w:rsidRDefault="004C28E5" w:rsidP="000109C3">
      <w:pPr>
        <w:pStyle w:val="Texto"/>
        <w:spacing w:line="224" w:lineRule="exact"/>
        <w:rPr>
          <w:b/>
          <w:lang w:val="es-MX"/>
        </w:rPr>
      </w:pPr>
      <w:r w:rsidRPr="00997D64">
        <w:rPr>
          <w:b/>
          <w:lang w:val="es-MX"/>
        </w:rPr>
        <w:t>...</w:t>
      </w:r>
    </w:p>
    <w:p w:rsidR="004C28E5" w:rsidRDefault="004C28E5" w:rsidP="000109C3">
      <w:pPr>
        <w:pStyle w:val="Texto"/>
        <w:spacing w:line="224" w:lineRule="exact"/>
        <w:rPr>
          <w:lang w:val="es-MX"/>
        </w:rPr>
      </w:pPr>
      <w:r w:rsidRPr="00997D64">
        <w:rPr>
          <w:lang w:val="es-MX"/>
        </w:rPr>
        <w:t>La Secretaría de Hacienda y el Consejo Nacional de Evaluación de la Política de Desarrollo Social, en el ámbito de su competencia y de conformidad con el artículo 110 de la Ley Federal de Presupuesto y Responsabilidad Hacendaria, enviarán al Consejo los criterios de evaluación de los recursos federales ministrados a las entidades federativas, los municipios y los órganos político-administrativos de las demarcaciones territoriales de la Ciudad de México, así como los lineamientos de evaluación que permitan homologar y estandarizar tanto las evaluaciones como los indicadores para que dicho Consejo, en el ámbito de sus atribuciones, proceda a determinar los formatos para la difusión de los resultados de las evaluaciones, conforme a lo establecido en el artículo 56 de esta Ley.</w:t>
      </w:r>
    </w:p>
    <w:p w:rsidR="004C28E5" w:rsidRDefault="004C28E5" w:rsidP="000109C3">
      <w:pPr>
        <w:pStyle w:val="Texto"/>
        <w:spacing w:line="224" w:lineRule="exact"/>
        <w:rPr>
          <w:b/>
          <w:lang w:val="es-MX"/>
        </w:rPr>
      </w:pPr>
      <w:r w:rsidRPr="00997D64">
        <w:rPr>
          <w:b/>
          <w:lang w:val="es-MX"/>
        </w:rPr>
        <w:t>Artículo 80.</w:t>
      </w:r>
      <w:proofErr w:type="gramStart"/>
      <w:r w:rsidRPr="00997D64">
        <w:rPr>
          <w:b/>
          <w:lang w:val="es-MX"/>
        </w:rPr>
        <w:t>- ...</w:t>
      </w:r>
      <w:proofErr w:type="gramEnd"/>
    </w:p>
    <w:p w:rsidR="004C28E5" w:rsidRDefault="004C28E5" w:rsidP="000109C3">
      <w:pPr>
        <w:pStyle w:val="Texto"/>
        <w:spacing w:line="224" w:lineRule="exact"/>
        <w:rPr>
          <w:b/>
          <w:lang w:val="es-MX"/>
        </w:rPr>
      </w:pPr>
      <w:r w:rsidRPr="00997D64">
        <w:rPr>
          <w:b/>
          <w:lang w:val="es-MX"/>
        </w:rPr>
        <w:t>...</w:t>
      </w:r>
    </w:p>
    <w:p w:rsidR="004C28E5" w:rsidRDefault="004C28E5" w:rsidP="000109C3">
      <w:pPr>
        <w:pStyle w:val="Texto"/>
        <w:spacing w:line="224" w:lineRule="exact"/>
        <w:rPr>
          <w:lang w:val="es-MX"/>
        </w:rPr>
      </w:pPr>
      <w:r w:rsidRPr="00997D64">
        <w:rPr>
          <w:lang w:val="es-MX"/>
        </w:rPr>
        <w:t>En ese mismo plazo, la Secretaría de Hacienda entregará a la Cámara de Diputados del Congreso de la Unión, un informe del avance alcanzado por las entidades federativas, los municipios y las demarcaciones territoriales de la Ciudad de México, en la implantación y operación del Presupuesto Basado en Resultados y del Sistema de Evaluación del Desempeño, en lo que corresponde a los recursos federales transferidos y, en su caso, las medidas que se aplicarán coordinadamente entre estos órdenes de gobierno para el logro de los objetivos definidos en las disposiciones aplicables.</w:t>
      </w:r>
    </w:p>
    <w:p w:rsidR="004C28E5" w:rsidRDefault="004C28E5" w:rsidP="000109C3">
      <w:pPr>
        <w:pStyle w:val="Texto"/>
        <w:spacing w:line="224" w:lineRule="exact"/>
        <w:rPr>
          <w:b/>
          <w:lang w:val="es-MX"/>
        </w:rPr>
      </w:pPr>
      <w:r w:rsidRPr="00997D64">
        <w:rPr>
          <w:b/>
          <w:lang w:val="es-MX"/>
        </w:rPr>
        <w:t>...</w:t>
      </w:r>
    </w:p>
    <w:p w:rsidR="004C28E5" w:rsidRDefault="004C28E5" w:rsidP="000109C3">
      <w:pPr>
        <w:pStyle w:val="Texto"/>
        <w:spacing w:line="224" w:lineRule="exact"/>
        <w:rPr>
          <w:lang w:val="es-MX"/>
        </w:rPr>
      </w:pPr>
      <w:r w:rsidRPr="00997D64">
        <w:rPr>
          <w:b/>
          <w:lang w:val="es-MX"/>
        </w:rPr>
        <w:t xml:space="preserve">Artículo 81.- </w:t>
      </w:r>
      <w:r w:rsidRPr="00997D64">
        <w:rPr>
          <w:lang w:val="es-MX"/>
        </w:rPr>
        <w:t>La información respecto al ejercicio y destino del gasto federalizado, así como respecto al reintegro de los recursos federales no devengados por las entidades federativas, municipios y demarcaciones territoriales de la Ciudad de México, para efectos de los informes trimestrales y la cuenta pública, deberá presentarse en los formatos aprobados por el consejo.</w:t>
      </w:r>
    </w:p>
    <w:p w:rsidR="004C28E5" w:rsidRDefault="004C28E5" w:rsidP="000109C3">
      <w:pPr>
        <w:pStyle w:val="Texto"/>
        <w:spacing w:line="224" w:lineRule="exact"/>
        <w:rPr>
          <w:lang w:val="es-MX"/>
        </w:rPr>
      </w:pPr>
      <w:r w:rsidRPr="00997D64">
        <w:rPr>
          <w:b/>
          <w:lang w:val="es-MX"/>
        </w:rPr>
        <w:t xml:space="preserve">Artículo 82.- </w:t>
      </w:r>
      <w:r w:rsidRPr="00997D64">
        <w:rPr>
          <w:lang w:val="es-MX"/>
        </w:rPr>
        <w:t>La Auditoría Superior de la Federación y los órganos de fiscalización superior locales serán responsables de vigilar la calidad de la información que proporcionen las entidades federativas, municipios y demarcaciones territoriales de la Ciudad de México, respecto al ejercicio y destino de los recursos públicos federales que por cualquier concepto les hayan sido ministrados.</w:t>
      </w:r>
    </w:p>
    <w:p w:rsidR="004C28E5" w:rsidRDefault="004C28E5" w:rsidP="000109C3">
      <w:pPr>
        <w:pStyle w:val="Texto"/>
        <w:spacing w:line="224" w:lineRule="exact"/>
        <w:rPr>
          <w:lang w:val="es-MX"/>
        </w:rPr>
      </w:pPr>
      <w:r w:rsidRPr="00997D64">
        <w:rPr>
          <w:b/>
          <w:lang w:val="es-MX"/>
        </w:rPr>
        <w:t xml:space="preserve">Artículo 83.- </w:t>
      </w:r>
      <w:r w:rsidRPr="00997D64">
        <w:rPr>
          <w:lang w:val="es-MX"/>
        </w:rPr>
        <w:t>La Auditoría Superior de la Federación deberá difundir la información de su programa anual de auditorías, relativa a las auditorías que serán realizadas respecto del gasto público federal transferido a las entidades federativas, municipios y demarcaciones territoriales de la Ciudad de México.</w:t>
      </w:r>
    </w:p>
    <w:p w:rsidR="004C28E5" w:rsidRDefault="004C28E5" w:rsidP="000109C3">
      <w:pPr>
        <w:pStyle w:val="Texto"/>
      </w:pPr>
      <w:r w:rsidRPr="00997D64">
        <w:rPr>
          <w:b/>
        </w:rPr>
        <w:t>Artículo 84.-</w:t>
      </w:r>
      <w:r w:rsidRPr="00997D64">
        <w:t xml:space="preserve"> Los actos u omisiones que impliquen el incumplimiento a los preceptos establecidos en la presente Ley y demás disposiciones aplicables en la materia, serán sancionados de conformidad con lo previsto en la Ley Federal de Responsabilidades Administrativas de los Servidores Públicos; las leyes equivalentes de las entidades federativas, y las demás disposiciones aplicables en términos del Título Cuarto de la Constitución Política de los Estados Unidos Mexicanos y de las constituciones de las entidades federativas.</w:t>
      </w:r>
    </w:p>
    <w:p w:rsidR="004C28E5" w:rsidRDefault="004C28E5" w:rsidP="000109C3">
      <w:pPr>
        <w:pStyle w:val="Texto"/>
        <w:rPr>
          <w:b/>
          <w:lang w:val="es-MX"/>
        </w:rPr>
      </w:pPr>
      <w:r w:rsidRPr="00997D64">
        <w:rPr>
          <w:b/>
          <w:lang w:val="es-MX"/>
        </w:rPr>
        <w:t>...</w:t>
      </w:r>
    </w:p>
    <w:p w:rsidR="004C28E5" w:rsidRPr="00A8433F" w:rsidRDefault="004C28E5" w:rsidP="00A8433F">
      <w:pPr>
        <w:pStyle w:val="ANOTACION"/>
      </w:pPr>
      <w:r w:rsidRPr="00A8433F">
        <w:t>Transitorio</w:t>
      </w:r>
    </w:p>
    <w:p w:rsidR="004C28E5" w:rsidRDefault="004C28E5" w:rsidP="000109C3">
      <w:pPr>
        <w:pStyle w:val="Texto"/>
        <w:rPr>
          <w:lang w:val="es-MX"/>
        </w:rPr>
      </w:pPr>
      <w:r w:rsidRPr="00997D64">
        <w:rPr>
          <w:b/>
          <w:lang w:val="es-MX"/>
        </w:rPr>
        <w:t xml:space="preserve">Único.- </w:t>
      </w:r>
      <w:r w:rsidRPr="00997D64">
        <w:rPr>
          <w:lang w:val="es-MX"/>
        </w:rPr>
        <w:t>El presente Decreto entrará en vigor al día siguiente de su publicación en el Diario Oficial de la Federación.</w:t>
      </w:r>
    </w:p>
    <w:sectPr w:rsidR="004C28E5" w:rsidSect="000D626F">
      <w:headerReference w:type="even" r:id="rId7"/>
      <w:headerReference w:type="default" r:id="rId8"/>
      <w:pgSz w:w="12240" w:h="15840" w:code="1"/>
      <w:pgMar w:top="1152" w:right="1699" w:bottom="1296" w:left="1699" w:header="706" w:footer="70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5D5" w:rsidRDefault="00CB65D5">
      <w:r>
        <w:separator/>
      </w:r>
    </w:p>
  </w:endnote>
  <w:endnote w:type="continuationSeparator" w:id="0">
    <w:p w:rsidR="00CB65D5" w:rsidRDefault="00CB65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5D5" w:rsidRDefault="00CB65D5">
      <w:r>
        <w:separator/>
      </w:r>
    </w:p>
  </w:footnote>
  <w:footnote w:type="continuationSeparator" w:id="0">
    <w:p w:rsidR="00CB65D5" w:rsidRDefault="00CB6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9A" w:rsidRPr="0011739F" w:rsidRDefault="0043019A" w:rsidP="000D626F">
    <w:pPr>
      <w:pStyle w:val="Fechas"/>
      <w:rPr>
        <w:rFonts w:cs="Times New Roman"/>
      </w:rPr>
    </w:pPr>
    <w:r w:rsidRPr="0011739F">
      <w:rPr>
        <w:rFonts w:cs="Times New Roman"/>
      </w:rPr>
      <w:t xml:space="preserve">     (Primera Sección)</w:t>
    </w:r>
    <w:r w:rsidRPr="0011739F">
      <w:rPr>
        <w:rFonts w:cs="Times New Roman"/>
      </w:rPr>
      <w:tab/>
      <w:t>DIARIO OFICIAL</w:t>
    </w:r>
    <w:r w:rsidRPr="0011739F">
      <w:rPr>
        <w:rFonts w:cs="Times New Roman"/>
      </w:rPr>
      <w:tab/>
    </w:r>
    <w:proofErr w:type="gramStart"/>
    <w:r w:rsidRPr="0011739F">
      <w:rPr>
        <w:rFonts w:cs="Times New Roman"/>
      </w:rPr>
      <w:t>Viernes</w:t>
    </w:r>
    <w:proofErr w:type="gramEnd"/>
    <w:r w:rsidRPr="0011739F">
      <w:rPr>
        <w:rFonts w:cs="Times New Roman"/>
      </w:rPr>
      <w:t xml:space="preserve"> 19 de enero de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19A" w:rsidRPr="0011739F" w:rsidRDefault="0043019A" w:rsidP="000D626F">
    <w:pPr>
      <w:pStyle w:val="Fechas"/>
      <w:rPr>
        <w:rFonts w:cs="Times New Roman"/>
      </w:rPr>
    </w:pPr>
    <w:r w:rsidRPr="0011739F">
      <w:rPr>
        <w:rFonts w:cs="Times New Roman"/>
      </w:rPr>
      <w:t>Viernes 19 de enero de 2018</w:t>
    </w:r>
    <w:r w:rsidRPr="0011739F">
      <w:rPr>
        <w:rFonts w:cs="Times New Roman"/>
      </w:rPr>
      <w:tab/>
      <w:t>DIARIO OFICIAL</w:t>
    </w:r>
    <w:r w:rsidRPr="0011739F">
      <w:rPr>
        <w:rFonts w:cs="Times New Roman"/>
      </w:rPr>
      <w:tab/>
      <w:t xml:space="preserve">(Primera Sección)     </w:t>
    </w:r>
    <w:r w:rsidR="0011739F">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DD3497"/>
    <w:rsid w:val="00007D5B"/>
    <w:rsid w:val="000109C3"/>
    <w:rsid w:val="00023FDE"/>
    <w:rsid w:val="00025505"/>
    <w:rsid w:val="00030FA7"/>
    <w:rsid w:val="000468AF"/>
    <w:rsid w:val="00046AF3"/>
    <w:rsid w:val="00047AFF"/>
    <w:rsid w:val="000643A3"/>
    <w:rsid w:val="00066B5E"/>
    <w:rsid w:val="00070CDB"/>
    <w:rsid w:val="0008366A"/>
    <w:rsid w:val="00083B96"/>
    <w:rsid w:val="00085CFF"/>
    <w:rsid w:val="00090755"/>
    <w:rsid w:val="000934C4"/>
    <w:rsid w:val="000B42E5"/>
    <w:rsid w:val="000B698E"/>
    <w:rsid w:val="000C50D4"/>
    <w:rsid w:val="000C632A"/>
    <w:rsid w:val="000D626F"/>
    <w:rsid w:val="000E6BF1"/>
    <w:rsid w:val="000F0FA3"/>
    <w:rsid w:val="000F3ABE"/>
    <w:rsid w:val="000F706A"/>
    <w:rsid w:val="0010703B"/>
    <w:rsid w:val="0011739F"/>
    <w:rsid w:val="001303A7"/>
    <w:rsid w:val="001358DE"/>
    <w:rsid w:val="00140A5C"/>
    <w:rsid w:val="00151A97"/>
    <w:rsid w:val="00155A7E"/>
    <w:rsid w:val="001574EC"/>
    <w:rsid w:val="001617E1"/>
    <w:rsid w:val="00163AE3"/>
    <w:rsid w:val="001642EF"/>
    <w:rsid w:val="00173E9D"/>
    <w:rsid w:val="001748E8"/>
    <w:rsid w:val="00176B02"/>
    <w:rsid w:val="00181964"/>
    <w:rsid w:val="00195422"/>
    <w:rsid w:val="001A1CAD"/>
    <w:rsid w:val="001A2BCE"/>
    <w:rsid w:val="001B1144"/>
    <w:rsid w:val="001B6981"/>
    <w:rsid w:val="001C1DC9"/>
    <w:rsid w:val="001E192F"/>
    <w:rsid w:val="001E6CB1"/>
    <w:rsid w:val="001F09BB"/>
    <w:rsid w:val="001F6325"/>
    <w:rsid w:val="0020245C"/>
    <w:rsid w:val="002214D8"/>
    <w:rsid w:val="00240CE1"/>
    <w:rsid w:val="0025082C"/>
    <w:rsid w:val="00254852"/>
    <w:rsid w:val="00255299"/>
    <w:rsid w:val="00282554"/>
    <w:rsid w:val="00285BE5"/>
    <w:rsid w:val="00286668"/>
    <w:rsid w:val="00286818"/>
    <w:rsid w:val="00290296"/>
    <w:rsid w:val="0029033A"/>
    <w:rsid w:val="00291CA7"/>
    <w:rsid w:val="002940B6"/>
    <w:rsid w:val="002A4D5E"/>
    <w:rsid w:val="002B00EE"/>
    <w:rsid w:val="002B127D"/>
    <w:rsid w:val="002B37B4"/>
    <w:rsid w:val="002B3857"/>
    <w:rsid w:val="002C3644"/>
    <w:rsid w:val="002D476D"/>
    <w:rsid w:val="002E0094"/>
    <w:rsid w:val="002E3872"/>
    <w:rsid w:val="002F483A"/>
    <w:rsid w:val="002F6279"/>
    <w:rsid w:val="002F666A"/>
    <w:rsid w:val="0030321A"/>
    <w:rsid w:val="00306951"/>
    <w:rsid w:val="0031242C"/>
    <w:rsid w:val="003125F9"/>
    <w:rsid w:val="00323864"/>
    <w:rsid w:val="0032394E"/>
    <w:rsid w:val="003264DE"/>
    <w:rsid w:val="00326B04"/>
    <w:rsid w:val="00330780"/>
    <w:rsid w:val="003340A4"/>
    <w:rsid w:val="00357A6B"/>
    <w:rsid w:val="0036410B"/>
    <w:rsid w:val="003656C6"/>
    <w:rsid w:val="00373DFE"/>
    <w:rsid w:val="0039202C"/>
    <w:rsid w:val="003958AA"/>
    <w:rsid w:val="003967FE"/>
    <w:rsid w:val="003A09A3"/>
    <w:rsid w:val="003B2214"/>
    <w:rsid w:val="003B46F2"/>
    <w:rsid w:val="003C5EB9"/>
    <w:rsid w:val="003D3A40"/>
    <w:rsid w:val="003D6457"/>
    <w:rsid w:val="003D6AB7"/>
    <w:rsid w:val="003E5783"/>
    <w:rsid w:val="003E7472"/>
    <w:rsid w:val="003F7FFC"/>
    <w:rsid w:val="00410B8C"/>
    <w:rsid w:val="00412ED6"/>
    <w:rsid w:val="004142D5"/>
    <w:rsid w:val="004273D0"/>
    <w:rsid w:val="0042779F"/>
    <w:rsid w:val="0043019A"/>
    <w:rsid w:val="004352A9"/>
    <w:rsid w:val="00440349"/>
    <w:rsid w:val="0044530C"/>
    <w:rsid w:val="00447ABA"/>
    <w:rsid w:val="00453D17"/>
    <w:rsid w:val="0046400A"/>
    <w:rsid w:val="00464085"/>
    <w:rsid w:val="004652D9"/>
    <w:rsid w:val="00465E99"/>
    <w:rsid w:val="004729B5"/>
    <w:rsid w:val="00475BE2"/>
    <w:rsid w:val="00491FF9"/>
    <w:rsid w:val="004A7426"/>
    <w:rsid w:val="004B01EA"/>
    <w:rsid w:val="004B2F2C"/>
    <w:rsid w:val="004C174C"/>
    <w:rsid w:val="004C28E5"/>
    <w:rsid w:val="004C49C6"/>
    <w:rsid w:val="004D02EE"/>
    <w:rsid w:val="004D4A72"/>
    <w:rsid w:val="004E6B1F"/>
    <w:rsid w:val="004E77FB"/>
    <w:rsid w:val="004F3FE9"/>
    <w:rsid w:val="004F6559"/>
    <w:rsid w:val="00502367"/>
    <w:rsid w:val="00512CDB"/>
    <w:rsid w:val="00514993"/>
    <w:rsid w:val="00520714"/>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C4019"/>
    <w:rsid w:val="005C75DE"/>
    <w:rsid w:val="005D3024"/>
    <w:rsid w:val="005D4388"/>
    <w:rsid w:val="005D7D14"/>
    <w:rsid w:val="005F4AC0"/>
    <w:rsid w:val="006231E1"/>
    <w:rsid w:val="006260EE"/>
    <w:rsid w:val="006270F3"/>
    <w:rsid w:val="00627360"/>
    <w:rsid w:val="00627D1A"/>
    <w:rsid w:val="0063495E"/>
    <w:rsid w:val="00634C63"/>
    <w:rsid w:val="00656CFF"/>
    <w:rsid w:val="00670946"/>
    <w:rsid w:val="006711A8"/>
    <w:rsid w:val="00674139"/>
    <w:rsid w:val="00681BC5"/>
    <w:rsid w:val="00686752"/>
    <w:rsid w:val="00691836"/>
    <w:rsid w:val="0069357B"/>
    <w:rsid w:val="00697B7C"/>
    <w:rsid w:val="006B7539"/>
    <w:rsid w:val="006C30AE"/>
    <w:rsid w:val="006D2E40"/>
    <w:rsid w:val="006E1D62"/>
    <w:rsid w:val="006E2487"/>
    <w:rsid w:val="006E4EE3"/>
    <w:rsid w:val="006E66EC"/>
    <w:rsid w:val="006F785A"/>
    <w:rsid w:val="0070415B"/>
    <w:rsid w:val="00717A6D"/>
    <w:rsid w:val="00724703"/>
    <w:rsid w:val="00735E9D"/>
    <w:rsid w:val="00737435"/>
    <w:rsid w:val="00741ABD"/>
    <w:rsid w:val="00746FC8"/>
    <w:rsid w:val="0075057B"/>
    <w:rsid w:val="007570C1"/>
    <w:rsid w:val="007578BE"/>
    <w:rsid w:val="00793D07"/>
    <w:rsid w:val="00797AB4"/>
    <w:rsid w:val="00797DCB"/>
    <w:rsid w:val="007A0956"/>
    <w:rsid w:val="007C625D"/>
    <w:rsid w:val="007D00B8"/>
    <w:rsid w:val="007D0C3B"/>
    <w:rsid w:val="007D286A"/>
    <w:rsid w:val="00816C4D"/>
    <w:rsid w:val="00827CE1"/>
    <w:rsid w:val="0083080F"/>
    <w:rsid w:val="00832E88"/>
    <w:rsid w:val="008412BC"/>
    <w:rsid w:val="00842BE6"/>
    <w:rsid w:val="00842FB8"/>
    <w:rsid w:val="00843E2D"/>
    <w:rsid w:val="008651ED"/>
    <w:rsid w:val="00875A59"/>
    <w:rsid w:val="00877B39"/>
    <w:rsid w:val="008855AC"/>
    <w:rsid w:val="008918DC"/>
    <w:rsid w:val="008922B8"/>
    <w:rsid w:val="0089558E"/>
    <w:rsid w:val="008A0F8C"/>
    <w:rsid w:val="008A23F3"/>
    <w:rsid w:val="008B5BD2"/>
    <w:rsid w:val="008C46C1"/>
    <w:rsid w:val="008D06EA"/>
    <w:rsid w:val="008D17A5"/>
    <w:rsid w:val="008E35DF"/>
    <w:rsid w:val="008F5142"/>
    <w:rsid w:val="008F7A18"/>
    <w:rsid w:val="009116DE"/>
    <w:rsid w:val="00913D77"/>
    <w:rsid w:val="009167A0"/>
    <w:rsid w:val="009200A2"/>
    <w:rsid w:val="009329FB"/>
    <w:rsid w:val="00945F33"/>
    <w:rsid w:val="00947152"/>
    <w:rsid w:val="00975511"/>
    <w:rsid w:val="009855BF"/>
    <w:rsid w:val="009932CA"/>
    <w:rsid w:val="009A7654"/>
    <w:rsid w:val="009C02DA"/>
    <w:rsid w:val="009D1A44"/>
    <w:rsid w:val="009E1274"/>
    <w:rsid w:val="009E1AC6"/>
    <w:rsid w:val="009E3B35"/>
    <w:rsid w:val="009E63EA"/>
    <w:rsid w:val="009F050F"/>
    <w:rsid w:val="00A31E9B"/>
    <w:rsid w:val="00A333DC"/>
    <w:rsid w:val="00A35A4B"/>
    <w:rsid w:val="00A53D31"/>
    <w:rsid w:val="00A7010C"/>
    <w:rsid w:val="00A73F8A"/>
    <w:rsid w:val="00A76032"/>
    <w:rsid w:val="00A7685B"/>
    <w:rsid w:val="00A8099D"/>
    <w:rsid w:val="00A81D62"/>
    <w:rsid w:val="00A8433F"/>
    <w:rsid w:val="00A84922"/>
    <w:rsid w:val="00A90AE8"/>
    <w:rsid w:val="00A971BB"/>
    <w:rsid w:val="00AA7550"/>
    <w:rsid w:val="00AB7088"/>
    <w:rsid w:val="00AC2AA2"/>
    <w:rsid w:val="00AD24D5"/>
    <w:rsid w:val="00AD54E0"/>
    <w:rsid w:val="00AE00D6"/>
    <w:rsid w:val="00B00632"/>
    <w:rsid w:val="00B073A2"/>
    <w:rsid w:val="00B14C29"/>
    <w:rsid w:val="00B16746"/>
    <w:rsid w:val="00B170E8"/>
    <w:rsid w:val="00B17DFA"/>
    <w:rsid w:val="00B3769E"/>
    <w:rsid w:val="00B63531"/>
    <w:rsid w:val="00B7008A"/>
    <w:rsid w:val="00B717B3"/>
    <w:rsid w:val="00B859B6"/>
    <w:rsid w:val="00BA3CA9"/>
    <w:rsid w:val="00BB1CCD"/>
    <w:rsid w:val="00BB26D3"/>
    <w:rsid w:val="00BF091C"/>
    <w:rsid w:val="00C009E0"/>
    <w:rsid w:val="00C01B5D"/>
    <w:rsid w:val="00C258E4"/>
    <w:rsid w:val="00C36FAD"/>
    <w:rsid w:val="00C5515A"/>
    <w:rsid w:val="00C563D2"/>
    <w:rsid w:val="00C60421"/>
    <w:rsid w:val="00C7152E"/>
    <w:rsid w:val="00C72F0B"/>
    <w:rsid w:val="00C8415B"/>
    <w:rsid w:val="00C9060E"/>
    <w:rsid w:val="00C91B84"/>
    <w:rsid w:val="00C96371"/>
    <w:rsid w:val="00C97590"/>
    <w:rsid w:val="00CA0BAE"/>
    <w:rsid w:val="00CA2FDC"/>
    <w:rsid w:val="00CA3BBA"/>
    <w:rsid w:val="00CB318C"/>
    <w:rsid w:val="00CB65D5"/>
    <w:rsid w:val="00CB6995"/>
    <w:rsid w:val="00CC0602"/>
    <w:rsid w:val="00CC17F8"/>
    <w:rsid w:val="00CC39A6"/>
    <w:rsid w:val="00CC71C5"/>
    <w:rsid w:val="00CD6850"/>
    <w:rsid w:val="00CE06BF"/>
    <w:rsid w:val="00CF3B2E"/>
    <w:rsid w:val="00CF6193"/>
    <w:rsid w:val="00D04785"/>
    <w:rsid w:val="00D060E4"/>
    <w:rsid w:val="00D32C7D"/>
    <w:rsid w:val="00D34588"/>
    <w:rsid w:val="00D3478E"/>
    <w:rsid w:val="00D34D1C"/>
    <w:rsid w:val="00D36C73"/>
    <w:rsid w:val="00D42FD2"/>
    <w:rsid w:val="00D54C2F"/>
    <w:rsid w:val="00D60AAD"/>
    <w:rsid w:val="00D64953"/>
    <w:rsid w:val="00D738FF"/>
    <w:rsid w:val="00D8397F"/>
    <w:rsid w:val="00D87572"/>
    <w:rsid w:val="00DA0A97"/>
    <w:rsid w:val="00DB3001"/>
    <w:rsid w:val="00DB3F49"/>
    <w:rsid w:val="00DB4A71"/>
    <w:rsid w:val="00DC4962"/>
    <w:rsid w:val="00DD3497"/>
    <w:rsid w:val="00DE4C7A"/>
    <w:rsid w:val="00DF6036"/>
    <w:rsid w:val="00DF6BC3"/>
    <w:rsid w:val="00E01296"/>
    <w:rsid w:val="00E21F6A"/>
    <w:rsid w:val="00E30B22"/>
    <w:rsid w:val="00E36312"/>
    <w:rsid w:val="00E3798A"/>
    <w:rsid w:val="00E42835"/>
    <w:rsid w:val="00E460F3"/>
    <w:rsid w:val="00E50177"/>
    <w:rsid w:val="00E5027B"/>
    <w:rsid w:val="00E5626A"/>
    <w:rsid w:val="00E772A8"/>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21DE"/>
    <w:rsid w:val="00F64B32"/>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4C28E5"/>
    <w:pPr>
      <w:keepNext/>
      <w:spacing w:before="240" w:after="60"/>
      <w:outlineLvl w:val="2"/>
    </w:pPr>
    <w:rPr>
      <w:rFonts w:ascii="CaAbria" w:hAnsi="CaAbria" w:cs="CaAbria"/>
      <w:b/>
      <w:color w:val="C0C0C0"/>
      <w:sz w:val="20"/>
      <w:szCs w:val="20"/>
      <w:lang w:val="es-ES_tradnl" w:eastAsia="es-MX"/>
    </w:rPr>
  </w:style>
  <w:style w:type="paragraph" w:styleId="Ttulo7">
    <w:name w:val="heading 7"/>
    <w:basedOn w:val="Normal"/>
    <w:next w:val="Normal"/>
    <w:link w:val="Ttulo7Car"/>
    <w:qFormat/>
    <w:rsid w:val="004C28E5"/>
    <w:pPr>
      <w:spacing w:before="240" w:after="60"/>
      <w:outlineLvl w:val="6"/>
    </w:pPr>
    <w:rPr>
      <w:rFonts w:ascii="CaAbria" w:hAnsi="CaAbria" w:cs="CaAbria"/>
      <w:i/>
      <w:color w:val="000000"/>
      <w:sz w:val="20"/>
      <w:szCs w:val="20"/>
      <w:lang w:val="es-ES_tradnl" w:eastAsia="es-MX"/>
    </w:rPr>
  </w:style>
  <w:style w:type="paragraph" w:styleId="Ttulo9">
    <w:name w:val="heading 9"/>
    <w:basedOn w:val="Normal"/>
    <w:next w:val="Normal"/>
    <w:link w:val="Ttulo9Car"/>
    <w:qFormat/>
    <w:rsid w:val="004C28E5"/>
    <w:pPr>
      <w:spacing w:before="240" w:after="60"/>
      <w:outlineLvl w:val="8"/>
    </w:pPr>
    <w:rPr>
      <w:rFonts w:ascii="CaAbria" w:hAnsi="CaAbria" w:cs="CaAbria"/>
      <w:i/>
      <w:color w:val="000000"/>
      <w:sz w:val="20"/>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4C28E5"/>
    <w:rPr>
      <w:rFonts w:ascii="CaAbria" w:hAnsi="CaAbria" w:cs="CaAbria"/>
      <w:b/>
      <w:color w:val="C0C0C0"/>
      <w:lang w:val="es-ES_tradnl"/>
    </w:rPr>
  </w:style>
  <w:style w:type="character" w:customStyle="1" w:styleId="Ttulo7Car">
    <w:name w:val="Título 7 Car"/>
    <w:link w:val="Ttulo7"/>
    <w:rsid w:val="004C28E5"/>
    <w:rPr>
      <w:rFonts w:ascii="CaAbria" w:hAnsi="CaAbria" w:cs="CaAbria"/>
      <w:i/>
      <w:color w:val="000000"/>
      <w:lang w:val="es-ES_tradnl"/>
    </w:rPr>
  </w:style>
  <w:style w:type="character" w:customStyle="1" w:styleId="Ttulo9Car">
    <w:name w:val="Título 9 Car"/>
    <w:link w:val="Ttulo9"/>
    <w:rsid w:val="004C28E5"/>
    <w:rPr>
      <w:rFonts w:ascii="CaAbria" w:hAnsi="CaAbria" w:cs="CaAbria"/>
      <w:i/>
      <w:color w:val="000000"/>
      <w:lang w:val="es-ES_tradnl"/>
    </w:rPr>
  </w:style>
  <w:style w:type="paragraph" w:styleId="NormalWeb">
    <w:name w:val="Normal (Web)"/>
    <w:basedOn w:val="Normal"/>
    <w:rsid w:val="004C28E5"/>
    <w:pPr>
      <w:spacing w:before="100" w:after="100"/>
    </w:pPr>
    <w:rPr>
      <w:rFonts w:ascii="ArAal" w:hAnsi="ArAal" w:cs="ArAal"/>
      <w:color w:val="008080"/>
      <w:sz w:val="19"/>
      <w:szCs w:val="20"/>
      <w:lang w:eastAsia="es-MX"/>
    </w:rPr>
  </w:style>
  <w:style w:type="paragraph" w:customStyle="1" w:styleId="Estilosinnombre">
    <w:name w:val="Estilo sin nombre"/>
    <w:basedOn w:val="Normal"/>
    <w:rsid w:val="004C28E5"/>
    <w:pPr>
      <w:spacing w:after="160" w:line="240" w:lineRule="exact"/>
    </w:pPr>
    <w:rPr>
      <w:rFonts w:ascii="TaAoma" w:hAnsi="TaAoma" w:cs="TaAoma"/>
      <w:sz w:val="20"/>
      <w:szCs w:val="20"/>
      <w:lang w:eastAsia="es-MX"/>
    </w:rPr>
  </w:style>
  <w:style w:type="paragraph" w:customStyle="1" w:styleId="BalloonText">
    <w:name w:val="Balloon Text"/>
    <w:basedOn w:val="Normal"/>
    <w:rsid w:val="004C28E5"/>
    <w:rPr>
      <w:rFonts w:ascii="TaAoma" w:hAnsi="TaAoma" w:cs="TaAoma"/>
      <w:sz w:val="16"/>
      <w:szCs w:val="20"/>
      <w:lang w:eastAsia="es-MX"/>
    </w:rPr>
  </w:style>
  <w:style w:type="paragraph" w:customStyle="1" w:styleId="centrar">
    <w:name w:val="centrar"/>
    <w:basedOn w:val="Normal"/>
    <w:rsid w:val="004C28E5"/>
    <w:pPr>
      <w:spacing w:before="100" w:after="100"/>
    </w:pPr>
    <w:rPr>
      <w:rFonts w:ascii="TiAes New Roman" w:hAnsi="TiAes New Roman" w:cs="TiAes New Roman"/>
      <w:b/>
      <w:szCs w:val="20"/>
      <w:lang w:eastAsia="es-MX"/>
    </w:rPr>
  </w:style>
  <w:style w:type="paragraph" w:customStyle="1" w:styleId="sangria">
    <w:name w:val="sangria"/>
    <w:basedOn w:val="Normal"/>
    <w:rsid w:val="004C28E5"/>
    <w:pPr>
      <w:spacing w:before="100" w:after="100"/>
      <w:ind w:left="240"/>
      <w:jc w:val="both"/>
    </w:pPr>
    <w:rPr>
      <w:rFonts w:ascii="TiAes New Roman" w:hAnsi="TiAes New Roman" w:cs="TiAes New Roman"/>
      <w:szCs w:val="20"/>
      <w:lang w:eastAsia="es-MX"/>
    </w:rPr>
  </w:style>
  <w:style w:type="paragraph" w:customStyle="1" w:styleId="sangrota">
    <w:name w:val="sangrota"/>
    <w:basedOn w:val="Normal"/>
    <w:rsid w:val="004C28E5"/>
    <w:pPr>
      <w:spacing w:before="100" w:after="100"/>
      <w:ind w:left="360"/>
      <w:jc w:val="both"/>
    </w:pPr>
    <w:rPr>
      <w:rFonts w:ascii="TiAes New Roman" w:hAnsi="TiAes New Roman" w:cs="TiAes New Roman"/>
      <w:szCs w:val="20"/>
      <w:lang w:eastAsia="es-MX"/>
    </w:rPr>
  </w:style>
  <w:style w:type="paragraph" w:customStyle="1" w:styleId="sangrona">
    <w:name w:val="sangrona"/>
    <w:basedOn w:val="Normal"/>
    <w:rsid w:val="004C28E5"/>
    <w:pPr>
      <w:spacing w:before="100" w:after="100"/>
      <w:ind w:left="360"/>
      <w:jc w:val="both"/>
    </w:pPr>
    <w:rPr>
      <w:rFonts w:ascii="TiAes New Roman" w:hAnsi="TiAes New Roman" w:cs="TiAes New Roman"/>
      <w:szCs w:val="20"/>
      <w:lang w:eastAsia="es-MX"/>
    </w:rPr>
  </w:style>
  <w:style w:type="paragraph" w:customStyle="1" w:styleId="Default">
    <w:name w:val="Default"/>
    <w:rsid w:val="004C28E5"/>
    <w:rPr>
      <w:rFonts w:ascii="ArAal" w:hAnsi="ArAal" w:cs="ArAal"/>
      <w:color w:val="000000"/>
      <w:sz w:val="24"/>
    </w:rPr>
  </w:style>
  <w:style w:type="paragraph" w:customStyle="1" w:styleId="Textonormal">
    <w:name w:val="Texto normal"/>
    <w:basedOn w:val="Normal"/>
    <w:rsid w:val="004C28E5"/>
    <w:pPr>
      <w:jc w:val="both"/>
    </w:pPr>
    <w:rPr>
      <w:rFonts w:ascii="ArAal" w:hAnsi="ArAal" w:cs="ArAal"/>
      <w:sz w:val="22"/>
      <w:szCs w:val="20"/>
      <w:lang w:val="es-MX" w:eastAsia="es-MX"/>
    </w:rPr>
  </w:style>
  <w:style w:type="paragraph" w:customStyle="1" w:styleId="BodyText2">
    <w:name w:val="Body Text 2"/>
    <w:basedOn w:val="Normal"/>
    <w:rsid w:val="004C28E5"/>
    <w:pPr>
      <w:jc w:val="both"/>
    </w:pPr>
    <w:rPr>
      <w:rFonts w:ascii="ArAal" w:hAnsi="ArAal" w:cs="ArAal"/>
      <w:b/>
      <w:sz w:val="22"/>
      <w:szCs w:val="20"/>
      <w:lang w:val="es-MX" w:eastAsia="es-MX"/>
    </w:rPr>
  </w:style>
  <w:style w:type="paragraph" w:customStyle="1" w:styleId="BodyText3">
    <w:name w:val="Body Text 3"/>
    <w:basedOn w:val="Normal"/>
    <w:rsid w:val="004C28E5"/>
    <w:pPr>
      <w:jc w:val="center"/>
    </w:pPr>
    <w:rPr>
      <w:rFonts w:ascii="ArAal" w:hAnsi="ArAal" w:cs="ArAal"/>
      <w:b/>
      <w:i/>
      <w:sz w:val="22"/>
      <w:szCs w:val="20"/>
      <w:lang w:val="es-MX" w:eastAsia="es-MX"/>
    </w:rPr>
  </w:style>
  <w:style w:type="paragraph" w:customStyle="1" w:styleId="Estilo2">
    <w:name w:val="Estilo2"/>
    <w:basedOn w:val="Normal"/>
    <w:rsid w:val="004C28E5"/>
    <w:pPr>
      <w:tabs>
        <w:tab w:val="left" w:pos="360"/>
      </w:tabs>
      <w:ind w:left="360" w:hanging="360"/>
      <w:jc w:val="both"/>
    </w:pPr>
    <w:rPr>
      <w:rFonts w:ascii="TiAes New Roman" w:hAnsi="TiAes New Roman" w:cs="TiAes New Roman"/>
      <w:sz w:val="32"/>
      <w:szCs w:val="20"/>
      <w:lang w:eastAsia="es-MX"/>
    </w:rPr>
  </w:style>
  <w:style w:type="paragraph" w:styleId="Prrafodelista">
    <w:name w:val="List Paragraph"/>
    <w:basedOn w:val="Normal"/>
    <w:qFormat/>
    <w:rsid w:val="004C28E5"/>
    <w:pPr>
      <w:ind w:left="708"/>
    </w:pPr>
    <w:rPr>
      <w:rFonts w:ascii="TiAes New Roman" w:hAnsi="TiAes New Roman" w:cs="TiAes New Roman"/>
      <w:szCs w:val="20"/>
      <w:lang w:eastAsia="es-MX"/>
    </w:rPr>
  </w:style>
  <w:style w:type="paragraph" w:customStyle="1" w:styleId="Ttulo31">
    <w:name w:val="Título 31"/>
    <w:basedOn w:val="Normal"/>
    <w:next w:val="Normal"/>
    <w:rsid w:val="004C28E5"/>
    <w:pPr>
      <w:keepNext/>
      <w:keepLines/>
      <w:spacing w:before="200" w:line="276" w:lineRule="atLeast"/>
    </w:pPr>
    <w:rPr>
      <w:rFonts w:ascii="CaAbria" w:hAnsi="CaAbria" w:cs="CaAbria"/>
      <w:b/>
      <w:color w:val="C0C0C0"/>
      <w:sz w:val="22"/>
      <w:szCs w:val="20"/>
      <w:lang w:val="es-ES_tradnl" w:eastAsia="es-MX"/>
    </w:rPr>
  </w:style>
  <w:style w:type="paragraph" w:customStyle="1" w:styleId="Ttulo71">
    <w:name w:val="Título 71"/>
    <w:basedOn w:val="Normal"/>
    <w:next w:val="Normal"/>
    <w:rsid w:val="004C28E5"/>
    <w:pPr>
      <w:keepNext/>
      <w:keepLines/>
      <w:spacing w:before="200" w:line="276" w:lineRule="atLeast"/>
    </w:pPr>
    <w:rPr>
      <w:rFonts w:ascii="CaAbria" w:hAnsi="CaAbria" w:cs="CaAbria"/>
      <w:i/>
      <w:color w:val="000000"/>
      <w:sz w:val="22"/>
      <w:szCs w:val="20"/>
      <w:lang w:val="es-ES_tradnl" w:eastAsia="es-MX"/>
    </w:rPr>
  </w:style>
  <w:style w:type="paragraph" w:customStyle="1" w:styleId="Ttulo91">
    <w:name w:val="Título 91"/>
    <w:basedOn w:val="Normal"/>
    <w:next w:val="Normal"/>
    <w:rsid w:val="004C28E5"/>
    <w:pPr>
      <w:keepNext/>
      <w:keepLines/>
      <w:spacing w:before="200" w:line="276" w:lineRule="atLeast"/>
    </w:pPr>
    <w:rPr>
      <w:rFonts w:ascii="CaAbria" w:hAnsi="CaAbria" w:cs="CaAbria"/>
      <w:i/>
      <w:color w:val="000000"/>
      <w:sz w:val="20"/>
      <w:szCs w:val="20"/>
      <w:lang w:val="es-ES_tradnl" w:eastAsia="es-MX"/>
    </w:rPr>
  </w:style>
  <w:style w:type="paragraph" w:customStyle="1" w:styleId="BodyTextIndent3">
    <w:name w:val="Body Text Indent 3"/>
    <w:basedOn w:val="Normal"/>
    <w:rsid w:val="004C28E5"/>
    <w:pPr>
      <w:ind w:hanging="1418"/>
      <w:jc w:val="both"/>
    </w:pPr>
    <w:rPr>
      <w:rFonts w:ascii="ArAal" w:hAnsi="ArAal" w:cs="ArAal"/>
      <w:szCs w:val="20"/>
      <w:lang w:val="es-MX" w:eastAsia="es-MX"/>
    </w:rPr>
  </w:style>
  <w:style w:type="paragraph" w:styleId="Sinespaciado">
    <w:name w:val="No Spacing"/>
    <w:qFormat/>
    <w:rsid w:val="004C28E5"/>
    <w:rPr>
      <w:rFonts w:ascii="CaAibri" w:hAnsi="CaAibri" w:cs="CaAibri"/>
      <w:sz w:val="22"/>
    </w:rPr>
  </w:style>
  <w:style w:type="character" w:customStyle="1" w:styleId="EncabezadoCar">
    <w:name w:val="Encabezado Car"/>
    <w:link w:val="Encabezado"/>
    <w:uiPriority w:val="99"/>
    <w:rsid w:val="004C28E5"/>
    <w:rPr>
      <w:sz w:val="24"/>
      <w:szCs w:val="24"/>
      <w:lang w:val="es-ES" w:eastAsia="es-ES"/>
    </w:rPr>
  </w:style>
  <w:style w:type="paragraph" w:styleId="Textodeglobo">
    <w:name w:val="Balloon Text"/>
    <w:basedOn w:val="Normal"/>
    <w:link w:val="TextodegloboCar"/>
    <w:uiPriority w:val="99"/>
    <w:semiHidden/>
    <w:unhideWhenUsed/>
    <w:rsid w:val="00E772A8"/>
    <w:rPr>
      <w:rFonts w:ascii="Segoe UI" w:hAnsi="Segoe UI" w:cs="Segoe UI"/>
      <w:sz w:val="18"/>
      <w:szCs w:val="18"/>
    </w:rPr>
  </w:style>
  <w:style w:type="character" w:customStyle="1" w:styleId="TextodegloboCar">
    <w:name w:val="Texto de globo Car"/>
    <w:link w:val="Textodeglobo"/>
    <w:uiPriority w:val="99"/>
    <w:semiHidden/>
    <w:rsid w:val="00E772A8"/>
    <w:rPr>
      <w:rFonts w:ascii="Segoe UI" w:hAnsi="Segoe UI" w:cs="Segoe UI"/>
      <w:sz w:val="18"/>
      <w:szCs w:val="18"/>
      <w:lang w:val="es-ES" w:eastAsia="es-ES"/>
    </w:rPr>
  </w:style>
  <w:style w:type="paragraph" w:customStyle="1" w:styleId="Sumario">
    <w:name w:val="Sumario"/>
    <w:basedOn w:val="Normal"/>
    <w:rsid w:val="0011739F"/>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11739F"/>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gutierrez.MX07281\Desktop\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3</TotalTime>
  <Pages>3</Pages>
  <Words>1728</Words>
  <Characters>9510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Polo</cp:lastModifiedBy>
  <cp:revision>2</cp:revision>
  <cp:lastPrinted>2018-01-19T00:22:00Z</cp:lastPrinted>
  <dcterms:created xsi:type="dcterms:W3CDTF">2018-03-18T18:57:00Z</dcterms:created>
  <dcterms:modified xsi:type="dcterms:W3CDTF">2018-03-18T18:57:00Z</dcterms:modified>
</cp:coreProperties>
</file>