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2B" w:rsidRPr="00DF2DBC" w:rsidRDefault="00F7442B">
      <w:pPr>
        <w:pStyle w:val="CABEZA"/>
        <w:rPr>
          <w:rFonts w:cs="Times New Roman"/>
        </w:rPr>
      </w:pPr>
      <w:r w:rsidRPr="00DF2DBC">
        <w:rPr>
          <w:rFonts w:cs="Times New Roman"/>
        </w:rPr>
        <w:t xml:space="preserve">SECRETARIA DE HACIENDA Y CREDITO </w:t>
      </w:r>
      <w:proofErr w:type="gramStart"/>
      <w:r w:rsidRPr="00DF2DBC">
        <w:rPr>
          <w:rFonts w:cs="Times New Roman"/>
        </w:rPr>
        <w:t>PUBLICO</w:t>
      </w:r>
      <w:proofErr w:type="gramEnd"/>
    </w:p>
    <w:p w:rsidR="00A87314" w:rsidRPr="00DF2DBC" w:rsidRDefault="00A87314" w:rsidP="0009481B">
      <w:pPr>
        <w:pStyle w:val="Titulo1"/>
        <w:rPr>
          <w:rFonts w:cs="Times New Roman"/>
        </w:rPr>
      </w:pPr>
      <w:r w:rsidRPr="00DF2DBC">
        <w:rPr>
          <w:rFonts w:cs="Times New Roman"/>
        </w:rPr>
        <w:t>DECRETO por el que se reforman y adicionan diversas disposiciones de la Ley General de Contabilidad Gubernamental y de la Ley Federal de Presupuesto y Responsabilidad Hacendaria.</w:t>
      </w:r>
    </w:p>
    <w:p w:rsidR="00A87314" w:rsidRPr="00DF2DBC" w:rsidRDefault="00A87314">
      <w:pPr>
        <w:pStyle w:val="Titulo2"/>
      </w:pPr>
      <w:r w:rsidRPr="00DF2DBC">
        <w:t>Al margen un sello con el Escudo Nacional, que dice: Estados Unidos Mexicanos.- Presidencia</w:t>
      </w:r>
      <w:r w:rsidR="00DF2DBC" w:rsidRPr="00DF2DBC">
        <w:t xml:space="preserve"> </w:t>
      </w:r>
      <w:r w:rsidRPr="00DF2DBC">
        <w:t>de la República.</w:t>
      </w:r>
    </w:p>
    <w:p w:rsidR="00A87314" w:rsidRDefault="00A87314" w:rsidP="00BA3B8E">
      <w:pPr>
        <w:pStyle w:val="Texto"/>
        <w:spacing w:line="232" w:lineRule="exact"/>
      </w:pPr>
      <w:r w:rsidRPr="00082634">
        <w:rPr>
          <w:b/>
        </w:rPr>
        <w:t>ENRIQUE PEÑA NIETO</w:t>
      </w:r>
      <w:r w:rsidRPr="00082634">
        <w:t>, Presidente de los Estados Unidos Mexicanos, a sus habitantes sabed:</w:t>
      </w:r>
    </w:p>
    <w:p w:rsidR="00A87314" w:rsidRDefault="00A87314" w:rsidP="00BA3B8E">
      <w:pPr>
        <w:pStyle w:val="Texto"/>
        <w:spacing w:line="232" w:lineRule="exact"/>
      </w:pPr>
      <w:r w:rsidRPr="00082634">
        <w:t>Que el Honorable Congreso de la Unión, se ha servido dirigirme el siguiente</w:t>
      </w:r>
    </w:p>
    <w:p w:rsidR="00A87314" w:rsidRDefault="00A87314" w:rsidP="00BA3B8E">
      <w:pPr>
        <w:pStyle w:val="ANOTACION"/>
        <w:spacing w:line="232" w:lineRule="exact"/>
      </w:pPr>
      <w:r w:rsidRPr="00082634">
        <w:t>DECRETO</w:t>
      </w:r>
    </w:p>
    <w:p w:rsidR="00A87314" w:rsidRPr="006B2503" w:rsidRDefault="00A87314" w:rsidP="00BA3B8E">
      <w:pPr>
        <w:pStyle w:val="Texto"/>
        <w:spacing w:line="232" w:lineRule="exact"/>
        <w:rPr>
          <w:sz w:val="16"/>
        </w:rPr>
      </w:pPr>
      <w:r w:rsidRPr="00082634">
        <w:rPr>
          <w:b/>
        </w:rPr>
        <w:t>"</w:t>
      </w:r>
      <w:r w:rsidRPr="006B2503">
        <w:rPr>
          <w:sz w:val="16"/>
        </w:rPr>
        <w:t>EL CONGRESO GENERAL DE LOS ESTADOS UNIDOS MEXICANOS, DECRETA:</w:t>
      </w:r>
    </w:p>
    <w:p w:rsidR="00A87314" w:rsidRPr="006B2503" w:rsidRDefault="00A87314" w:rsidP="00BA3B8E">
      <w:pPr>
        <w:pStyle w:val="Texto"/>
        <w:spacing w:line="232" w:lineRule="exact"/>
        <w:rPr>
          <w:b/>
          <w:sz w:val="16"/>
        </w:rPr>
      </w:pPr>
      <w:r w:rsidRPr="006B2503">
        <w:rPr>
          <w:b/>
          <w:sz w:val="16"/>
        </w:rPr>
        <w:t>SE REFORMAN Y ADICIONAN DIVERSAS DISPOSICIONES DE LA LEY GENERAL DE CONTABILIDAD GUBERNAMENTAL Y DE LA LEY FEDERAL DE PRESUPUESTO Y RESPONSABILIDAD HACENDARIA.</w:t>
      </w:r>
    </w:p>
    <w:p w:rsidR="00A87314" w:rsidRDefault="00A87314" w:rsidP="00BA3B8E">
      <w:pPr>
        <w:pStyle w:val="Texto"/>
        <w:spacing w:line="232" w:lineRule="exact"/>
      </w:pPr>
      <w:r w:rsidRPr="00082634">
        <w:rPr>
          <w:b/>
        </w:rPr>
        <w:t>Artículo Primero.-</w:t>
      </w:r>
      <w:r w:rsidRPr="00082634">
        <w:t xml:space="preserve"> Se</w:t>
      </w:r>
      <w:r w:rsidRPr="00082634">
        <w:rPr>
          <w:b/>
        </w:rPr>
        <w:t xml:space="preserve"> reforman</w:t>
      </w:r>
      <w:r w:rsidRPr="00082634">
        <w:t xml:space="preserve"> los artículos 4, fracción XII; 9, fracción IV; 11, fracciones VIII y XII; 15, párrafo tercero; 25; 29; 32; 46; 47, párrafo primero; 48; 55; 79, párrafo tercero y 80, párrafo segundo, y se</w:t>
      </w:r>
      <w:r w:rsidRPr="00082634">
        <w:rPr>
          <w:b/>
        </w:rPr>
        <w:t xml:space="preserve"> adicionan</w:t>
      </w:r>
      <w:r w:rsidRPr="00082634">
        <w:t xml:space="preserve"> un último párrafo al artículo 9 y un artículo 10 Bis de la Ley General de Contabilidad Gubernamental, para quedar como sigue:</w:t>
      </w:r>
    </w:p>
    <w:p w:rsidR="00A87314" w:rsidRDefault="00A87314" w:rsidP="00BA3B8E">
      <w:pPr>
        <w:pStyle w:val="Texto"/>
        <w:spacing w:line="232" w:lineRule="exact"/>
      </w:pPr>
      <w:r w:rsidRPr="00082634">
        <w:rPr>
          <w:b/>
        </w:rPr>
        <w:t>Artículo 4.</w:t>
      </w:r>
      <w:proofErr w:type="gramStart"/>
      <w:r w:rsidRPr="00082634">
        <w:rPr>
          <w:b/>
        </w:rPr>
        <w:t xml:space="preserve">- </w:t>
      </w:r>
      <w:r w:rsidRPr="006B2503">
        <w:rPr>
          <w:b/>
        </w:rPr>
        <w:t>...</w:t>
      </w:r>
      <w:proofErr w:type="gramEnd"/>
    </w:p>
    <w:p w:rsidR="00A87314" w:rsidRDefault="00A87314" w:rsidP="00BA3B8E">
      <w:pPr>
        <w:pStyle w:val="Texto"/>
        <w:spacing w:line="232" w:lineRule="exact"/>
      </w:pPr>
      <w:r w:rsidRPr="00082634">
        <w:rPr>
          <w:b/>
        </w:rPr>
        <w:t>I.</w:t>
      </w:r>
      <w:r w:rsidRPr="00082634">
        <w:t xml:space="preserve"> a</w:t>
      </w:r>
      <w:r w:rsidRPr="00082634">
        <w:rPr>
          <w:b/>
        </w:rPr>
        <w:t xml:space="preserve"> XI.</w:t>
      </w:r>
      <w:r w:rsidRPr="00082634">
        <w:t xml:space="preserve"> </w:t>
      </w:r>
      <w:r w:rsidRPr="006B2503">
        <w:rPr>
          <w:b/>
        </w:rPr>
        <w:t>...</w:t>
      </w:r>
    </w:p>
    <w:p w:rsidR="00A87314" w:rsidRDefault="00A87314" w:rsidP="00BA3B8E">
      <w:pPr>
        <w:pStyle w:val="ROMANOS"/>
        <w:spacing w:line="232" w:lineRule="exact"/>
      </w:pPr>
      <w:r w:rsidRPr="00082634">
        <w:rPr>
          <w:b/>
        </w:rPr>
        <w:t>XII.</w:t>
      </w:r>
      <w:r w:rsidRPr="00082634">
        <w:tab/>
        <w:t>Entes públicos: los poderes Ejecutivo, Legislativo y Judicial de la Federación y de las 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 municipal;</w:t>
      </w:r>
    </w:p>
    <w:p w:rsidR="00A87314" w:rsidRDefault="00A87314" w:rsidP="00BA3B8E">
      <w:pPr>
        <w:pStyle w:val="Texto"/>
        <w:spacing w:line="232" w:lineRule="exact"/>
      </w:pPr>
      <w:r w:rsidRPr="00082634">
        <w:rPr>
          <w:b/>
        </w:rPr>
        <w:t>XIII.</w:t>
      </w:r>
      <w:r w:rsidRPr="00082634">
        <w:t xml:space="preserve"> a </w:t>
      </w:r>
      <w:r w:rsidRPr="00082634">
        <w:rPr>
          <w:b/>
        </w:rPr>
        <w:t>XXIX.</w:t>
      </w:r>
      <w:r w:rsidRPr="00082634">
        <w:t xml:space="preserve"> </w:t>
      </w:r>
      <w:r w:rsidRPr="006B2503">
        <w:rPr>
          <w:b/>
        </w:rPr>
        <w:t>...</w:t>
      </w:r>
    </w:p>
    <w:p w:rsidR="00A87314" w:rsidRDefault="00A87314" w:rsidP="00BA3B8E">
      <w:pPr>
        <w:pStyle w:val="Texto"/>
        <w:spacing w:line="232" w:lineRule="exact"/>
      </w:pPr>
      <w:r w:rsidRPr="00082634">
        <w:rPr>
          <w:b/>
        </w:rPr>
        <w:t>Artículo 9.</w:t>
      </w:r>
      <w:proofErr w:type="gramStart"/>
      <w:r w:rsidRPr="00082634">
        <w:rPr>
          <w:b/>
        </w:rPr>
        <w:t>-</w:t>
      </w:r>
      <w:r w:rsidRPr="00082634">
        <w:t xml:space="preserve"> </w:t>
      </w:r>
      <w:r w:rsidRPr="006B2503">
        <w:rPr>
          <w:b/>
        </w:rPr>
        <w:t>...</w:t>
      </w:r>
      <w:proofErr w:type="gramEnd"/>
    </w:p>
    <w:p w:rsidR="00A87314" w:rsidRDefault="00A87314" w:rsidP="00BA3B8E">
      <w:pPr>
        <w:pStyle w:val="Texto"/>
        <w:spacing w:line="232" w:lineRule="exact"/>
      </w:pPr>
      <w:r w:rsidRPr="00082634">
        <w:rPr>
          <w:b/>
        </w:rPr>
        <w:t>I.</w:t>
      </w:r>
      <w:r w:rsidRPr="00082634">
        <w:t xml:space="preserve"> a </w:t>
      </w:r>
      <w:r w:rsidRPr="00082634">
        <w:rPr>
          <w:b/>
        </w:rPr>
        <w:t>III.</w:t>
      </w:r>
      <w:r w:rsidRPr="00082634">
        <w:t xml:space="preserve"> </w:t>
      </w:r>
      <w:r w:rsidRPr="006B2503">
        <w:rPr>
          <w:b/>
        </w:rPr>
        <w:t>...</w:t>
      </w:r>
    </w:p>
    <w:p w:rsidR="00A87314" w:rsidRDefault="00A87314" w:rsidP="00BA3B8E">
      <w:pPr>
        <w:pStyle w:val="Texto"/>
        <w:spacing w:line="232" w:lineRule="exact"/>
      </w:pPr>
      <w:r w:rsidRPr="00082634">
        <w:rPr>
          <w:b/>
        </w:rPr>
        <w:t>IV.</w:t>
      </w:r>
      <w:r w:rsidRPr="00082634">
        <w:tab/>
        <w:t>Emitir las reglas de operación del Consejo, del comité y de los consejos de armonización contable de las entidades federativas;</w:t>
      </w:r>
    </w:p>
    <w:p w:rsidR="00A87314" w:rsidRDefault="00A87314" w:rsidP="00BA3B8E">
      <w:pPr>
        <w:pStyle w:val="Texto"/>
        <w:spacing w:line="232" w:lineRule="exact"/>
      </w:pPr>
      <w:r w:rsidRPr="00082634">
        <w:rPr>
          <w:b/>
        </w:rPr>
        <w:t>V.</w:t>
      </w:r>
      <w:r w:rsidRPr="00082634">
        <w:t xml:space="preserve"> a </w:t>
      </w:r>
      <w:r w:rsidRPr="00082634">
        <w:rPr>
          <w:b/>
        </w:rPr>
        <w:t>XIV.</w:t>
      </w:r>
      <w:r w:rsidRPr="00082634">
        <w:t xml:space="preserve"> </w:t>
      </w:r>
      <w:r w:rsidRPr="006B2503">
        <w:rPr>
          <w:b/>
        </w:rPr>
        <w:t>...</w:t>
      </w:r>
    </w:p>
    <w:p w:rsidR="00A87314" w:rsidRDefault="00A87314" w:rsidP="00BA3B8E">
      <w:pPr>
        <w:pStyle w:val="Texto"/>
        <w:spacing w:line="232" w:lineRule="exact"/>
      </w:pPr>
      <w:r w:rsidRPr="006B2503">
        <w:rPr>
          <w:b/>
        </w:rPr>
        <w:t>...</w:t>
      </w:r>
    </w:p>
    <w:p w:rsidR="00A87314" w:rsidRDefault="00A87314" w:rsidP="00BA3B8E">
      <w:pPr>
        <w:pStyle w:val="Texto"/>
        <w:spacing w:line="232" w:lineRule="exact"/>
      </w:pPr>
      <w:r w:rsidRPr="00082634">
        <w:t>Para el ejercicio de sus atribuciones, el Consejo podrá auxiliarse en los consejos de armonización contable de las entidades federativas, en términos de lo dispuesto en la presente Ley.</w:t>
      </w:r>
    </w:p>
    <w:p w:rsidR="00A87314" w:rsidRDefault="00A87314" w:rsidP="00BA3B8E">
      <w:pPr>
        <w:pStyle w:val="Texto"/>
        <w:spacing w:line="232" w:lineRule="exact"/>
      </w:pPr>
      <w:r w:rsidRPr="00082634">
        <w:rPr>
          <w:b/>
        </w:rPr>
        <w:t xml:space="preserve">Artículo 10 Bis.- </w:t>
      </w:r>
      <w:r w:rsidRPr="00082634">
        <w:t>Cada entidad federativa establecerá un consejo de armonización contable, los cuales auxiliarán al Consejo en el cumplimiento de lo dispuesto en esta Ley.</w:t>
      </w:r>
    </w:p>
    <w:p w:rsidR="00A87314" w:rsidRDefault="00A87314" w:rsidP="00BA3B8E">
      <w:pPr>
        <w:pStyle w:val="Texto"/>
        <w:spacing w:line="232" w:lineRule="exact"/>
      </w:pPr>
      <w:r w:rsidRPr="00082634">
        <w:t>Los consejos de armonización contable de las entidades federativas tendrán las atribuciones siguientes:</w:t>
      </w:r>
    </w:p>
    <w:p w:rsidR="00A87314" w:rsidRDefault="00A87314" w:rsidP="00BA3B8E">
      <w:pPr>
        <w:pStyle w:val="ROMANOS"/>
        <w:spacing w:line="232" w:lineRule="exact"/>
      </w:pPr>
      <w:r w:rsidRPr="00082634">
        <w:rPr>
          <w:b/>
        </w:rPr>
        <w:t>I.</w:t>
      </w:r>
      <w:r w:rsidRPr="00082634">
        <w:rPr>
          <w:b/>
        </w:rPr>
        <w:tab/>
      </w:r>
      <w:r w:rsidRPr="00082634">
        <w:t>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 Consejo;</w:t>
      </w:r>
    </w:p>
    <w:p w:rsidR="00A87314" w:rsidRDefault="00A87314" w:rsidP="00BA3B8E">
      <w:pPr>
        <w:pStyle w:val="ROMANOS"/>
        <w:spacing w:line="232" w:lineRule="exact"/>
      </w:pPr>
      <w:r w:rsidRPr="00082634">
        <w:rPr>
          <w:b/>
        </w:rPr>
        <w:t>II.</w:t>
      </w:r>
      <w:r w:rsidRPr="00082634">
        <w:rPr>
          <w:b/>
        </w:rPr>
        <w:tab/>
      </w:r>
      <w:r w:rsidRPr="00082634">
        <w:t>Establecer acciones de coordinación entre el gobierno de su entidad federativa con los municipios o los órganos político-administrativos de las demarcaciones territoriales del Distrito Federal, según corresponda, para dar cumplimiento a lo dispuesto en la presente Ley;</w:t>
      </w:r>
    </w:p>
    <w:p w:rsidR="00A87314" w:rsidRDefault="00A87314" w:rsidP="00BA3B8E">
      <w:pPr>
        <w:pStyle w:val="ROMANOS"/>
        <w:spacing w:line="232" w:lineRule="exact"/>
      </w:pPr>
      <w:r w:rsidRPr="00082634">
        <w:rPr>
          <w:b/>
        </w:rPr>
        <w:t>III.</w:t>
      </w:r>
      <w:r w:rsidRPr="00082634">
        <w:rPr>
          <w:b/>
        </w:rPr>
        <w:tab/>
      </w:r>
      <w:r w:rsidRPr="00082634">
        <w:t>Requerir información a los entes públicos de su entidad federativa y de los municipios de su estado o de los órganos político-administrativos de las demarcaciones territoriales del Distrito Federal, según corresponda, sobre los avances en la armonización de su contabilidad conforme a las normas contables emitidas por el Consejo;</w:t>
      </w:r>
    </w:p>
    <w:p w:rsidR="00A87314" w:rsidRDefault="00A87314" w:rsidP="00BA3B8E">
      <w:pPr>
        <w:pStyle w:val="ROMANOS"/>
        <w:spacing w:line="232" w:lineRule="exact"/>
      </w:pPr>
      <w:r w:rsidRPr="00082634">
        <w:rPr>
          <w:b/>
        </w:rPr>
        <w:t>IV.</w:t>
      </w:r>
      <w:r w:rsidRPr="00082634">
        <w:rPr>
          <w:b/>
        </w:rPr>
        <w:tab/>
      </w:r>
      <w:r w:rsidRPr="00082634">
        <w:t xml:space="preserve">Analizar la información que reciban de los entes públicos de su entidad federativa y de los municipios de su estado o de los órganos político-administrativos de las demarcaciones territoriales del Distrito </w:t>
      </w:r>
      <w:r w:rsidRPr="00082634">
        <w:lastRenderedPageBreak/>
        <w:t>Federal, según corresponda, e informar al Secretario Técnico del Consejo los resultados correspondientes;</w:t>
      </w:r>
    </w:p>
    <w:p w:rsidR="00A87314" w:rsidRDefault="00A87314" w:rsidP="00BA3B8E">
      <w:pPr>
        <w:pStyle w:val="ROMANOS"/>
        <w:spacing w:line="236" w:lineRule="exact"/>
      </w:pPr>
      <w:r w:rsidRPr="00082634">
        <w:rPr>
          <w:b/>
        </w:rPr>
        <w:t>V.</w:t>
      </w:r>
      <w:r w:rsidRPr="00082634">
        <w:rPr>
          <w:b/>
        </w:rPr>
        <w:tab/>
      </w:r>
      <w:r w:rsidRPr="00082634">
        <w:t>Proponer recomendaciones al Secretario Técnico del Consejo respecto de las normas contables y de la emisión de información financiera, y</w:t>
      </w:r>
    </w:p>
    <w:p w:rsidR="00A87314" w:rsidRDefault="00A87314" w:rsidP="00BA3B8E">
      <w:pPr>
        <w:pStyle w:val="ROMANOS"/>
        <w:spacing w:line="236" w:lineRule="exact"/>
      </w:pPr>
      <w:r w:rsidRPr="00082634">
        <w:rPr>
          <w:b/>
        </w:rPr>
        <w:t>VI.</w:t>
      </w:r>
      <w:r w:rsidRPr="00082634">
        <w:rPr>
          <w:b/>
        </w:rPr>
        <w:tab/>
      </w:r>
      <w:r w:rsidRPr="00082634">
        <w:t>Las demás que determine el Consejo.</w:t>
      </w:r>
    </w:p>
    <w:p w:rsidR="00A87314" w:rsidRDefault="00A87314" w:rsidP="00BA3B8E">
      <w:pPr>
        <w:pStyle w:val="Texto"/>
        <w:spacing w:line="236" w:lineRule="exact"/>
      </w:pPr>
      <w:r w:rsidRPr="00082634">
        <w:t>Los consejos de armonización contable de las entidades federativas se integrarán y funcionarán de conformidad con las reglas de operación que emita el Consejo.</w:t>
      </w:r>
    </w:p>
    <w:p w:rsidR="00A87314" w:rsidRDefault="00A87314" w:rsidP="00BA3B8E">
      <w:pPr>
        <w:pStyle w:val="Texto"/>
        <w:spacing w:line="236" w:lineRule="exact"/>
        <w:rPr>
          <w:b/>
        </w:rPr>
      </w:pPr>
      <w:r w:rsidRPr="00082634">
        <w:rPr>
          <w:b/>
        </w:rPr>
        <w:t>Artículo 11.</w:t>
      </w:r>
      <w:proofErr w:type="gramStart"/>
      <w:r w:rsidRPr="00082634">
        <w:rPr>
          <w:b/>
        </w:rPr>
        <w:t xml:space="preserve">- </w:t>
      </w:r>
      <w:r w:rsidRPr="006B2503">
        <w:rPr>
          <w:b/>
        </w:rPr>
        <w:t>...</w:t>
      </w:r>
      <w:proofErr w:type="gramEnd"/>
    </w:p>
    <w:p w:rsidR="00A87314" w:rsidRDefault="00A87314" w:rsidP="00BA3B8E">
      <w:pPr>
        <w:pStyle w:val="Texto"/>
        <w:spacing w:line="236" w:lineRule="exact"/>
      </w:pPr>
      <w:r w:rsidRPr="00082634">
        <w:rPr>
          <w:b/>
        </w:rPr>
        <w:t>I.</w:t>
      </w:r>
      <w:r w:rsidRPr="00082634">
        <w:t xml:space="preserve"> a </w:t>
      </w:r>
      <w:r w:rsidRPr="00082634">
        <w:rPr>
          <w:b/>
        </w:rPr>
        <w:t>VII.</w:t>
      </w:r>
      <w:r w:rsidRPr="00082634">
        <w:t xml:space="preserve"> </w:t>
      </w:r>
      <w:r w:rsidRPr="006B2503">
        <w:rPr>
          <w:b/>
        </w:rPr>
        <w:t>...</w:t>
      </w:r>
    </w:p>
    <w:p w:rsidR="00A87314" w:rsidRDefault="00A87314" w:rsidP="00BA3B8E">
      <w:pPr>
        <w:pStyle w:val="ROMANOS"/>
        <w:spacing w:line="236" w:lineRule="exact"/>
      </w:pPr>
      <w:r w:rsidRPr="00082634">
        <w:rPr>
          <w:b/>
        </w:rPr>
        <w:t>VIII.</w:t>
      </w:r>
      <w:r w:rsidRPr="00082634">
        <w:rPr>
          <w:b/>
        </w:rPr>
        <w:tab/>
      </w:r>
      <w:r w:rsidRPr="00082634">
        <w:t>Recibir, evaluar y dar respuesta a las propuestas técnicas que presenten el comité, los consejos de armonización contable de las entidades federativas, las instituciones públicas y privadas, y los miembros de la sociedad civil;</w:t>
      </w:r>
    </w:p>
    <w:p w:rsidR="00A87314" w:rsidRDefault="00A87314" w:rsidP="00BA3B8E">
      <w:pPr>
        <w:pStyle w:val="Texto"/>
        <w:spacing w:line="236" w:lineRule="exact"/>
        <w:rPr>
          <w:b/>
        </w:rPr>
      </w:pPr>
      <w:r w:rsidRPr="00082634">
        <w:rPr>
          <w:b/>
        </w:rPr>
        <w:t xml:space="preserve">IX. </w:t>
      </w:r>
      <w:r w:rsidRPr="00082634">
        <w:t>a</w:t>
      </w:r>
      <w:r w:rsidRPr="00082634">
        <w:rPr>
          <w:b/>
        </w:rPr>
        <w:t xml:space="preserve"> XI. </w:t>
      </w:r>
      <w:r w:rsidRPr="006B2503">
        <w:rPr>
          <w:b/>
        </w:rPr>
        <w:t>...</w:t>
      </w:r>
    </w:p>
    <w:p w:rsidR="00A87314" w:rsidRDefault="00A87314" w:rsidP="00BA3B8E">
      <w:pPr>
        <w:pStyle w:val="ROMANOS"/>
        <w:spacing w:line="236" w:lineRule="exact"/>
      </w:pPr>
      <w:r w:rsidRPr="00082634">
        <w:rPr>
          <w:b/>
        </w:rPr>
        <w:t>XII.</w:t>
      </w:r>
      <w:r w:rsidRPr="00082634">
        <w:tab/>
        <w:t>Dar seguimiento a los avances en la armonización de la contabilidad de los entes públicos, con base en la información que remitan los consejos de armonización contable de las entidades federativas y los entes públicos federales;</w:t>
      </w:r>
    </w:p>
    <w:p w:rsidR="00A87314" w:rsidRDefault="00A87314" w:rsidP="00BA3B8E">
      <w:pPr>
        <w:pStyle w:val="Texto"/>
        <w:spacing w:line="236" w:lineRule="exact"/>
      </w:pPr>
      <w:r w:rsidRPr="00082634">
        <w:rPr>
          <w:b/>
        </w:rPr>
        <w:t>XIII.</w:t>
      </w:r>
      <w:r w:rsidRPr="00082634">
        <w:t xml:space="preserve"> a </w:t>
      </w:r>
      <w:r w:rsidRPr="00082634">
        <w:rPr>
          <w:b/>
        </w:rPr>
        <w:t>XIV.</w:t>
      </w:r>
      <w:r w:rsidRPr="00082634">
        <w:t xml:space="preserve"> </w:t>
      </w:r>
      <w:r w:rsidRPr="006B2503">
        <w:rPr>
          <w:b/>
        </w:rPr>
        <w:t>...</w:t>
      </w:r>
    </w:p>
    <w:p w:rsidR="00A87314" w:rsidRDefault="00A87314" w:rsidP="00BA3B8E">
      <w:pPr>
        <w:pStyle w:val="Texto"/>
        <w:spacing w:line="236" w:lineRule="exact"/>
        <w:rPr>
          <w:b/>
        </w:rPr>
      </w:pPr>
      <w:r w:rsidRPr="00082634">
        <w:rPr>
          <w:b/>
        </w:rPr>
        <w:t>Artículo 15.</w:t>
      </w:r>
      <w:proofErr w:type="gramStart"/>
      <w:r w:rsidRPr="00082634">
        <w:rPr>
          <w:b/>
        </w:rPr>
        <w:t xml:space="preserve">- </w:t>
      </w:r>
      <w:r w:rsidRPr="006B2503">
        <w:rPr>
          <w:b/>
        </w:rPr>
        <w:t>...</w:t>
      </w:r>
      <w:proofErr w:type="gramEnd"/>
    </w:p>
    <w:p w:rsidR="00A87314" w:rsidRDefault="00A87314" w:rsidP="00BA3B8E">
      <w:pPr>
        <w:pStyle w:val="Texto"/>
        <w:spacing w:line="236" w:lineRule="exact"/>
      </w:pPr>
      <w:r w:rsidRPr="006B2503">
        <w:rPr>
          <w:b/>
        </w:rPr>
        <w:t>...</w:t>
      </w:r>
    </w:p>
    <w:p w:rsidR="00A87314" w:rsidRDefault="00A87314" w:rsidP="00BA3B8E">
      <w:pPr>
        <w:pStyle w:val="Texto"/>
        <w:spacing w:line="236" w:lineRule="exact"/>
      </w:pPr>
      <w:r w:rsidRPr="00082634">
        <w:t>El Consejo, por conducto de su Secretario Técnico, llevará un registro de los actos que, en términos del artículo 7 de esta Ley, realicen los entes públicos de las entidades federativas y de los municipios o 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 fin.</w:t>
      </w:r>
    </w:p>
    <w:p w:rsidR="00A87314" w:rsidRDefault="00A87314" w:rsidP="00BA3B8E">
      <w:pPr>
        <w:pStyle w:val="Texto"/>
        <w:spacing w:line="236" w:lineRule="exact"/>
      </w:pPr>
      <w:r w:rsidRPr="006B2503">
        <w:rPr>
          <w:b/>
        </w:rPr>
        <w:t>...</w:t>
      </w:r>
    </w:p>
    <w:p w:rsidR="00A87314" w:rsidRDefault="00A87314" w:rsidP="00BA3B8E">
      <w:pPr>
        <w:pStyle w:val="Texto"/>
        <w:spacing w:line="236" w:lineRule="exact"/>
      </w:pPr>
      <w:r w:rsidRPr="006B2503">
        <w:rPr>
          <w:b/>
        </w:rPr>
        <w:t>...</w:t>
      </w:r>
    </w:p>
    <w:p w:rsidR="00A87314" w:rsidRDefault="00A87314" w:rsidP="00BA3B8E">
      <w:pPr>
        <w:pStyle w:val="Texto"/>
        <w:spacing w:line="236" w:lineRule="exact"/>
      </w:pPr>
      <w:r w:rsidRPr="00082634">
        <w:rPr>
          <w:b/>
        </w:rPr>
        <w:t>Artículo 25.-</w:t>
      </w:r>
      <w:r w:rsidRPr="00082634">
        <w:t xml:space="preserve"> Los entes públicos, conforme lo determine el Consejo en términos de las disposiciones jurídicas aplicables, elaborarán un registro auxiliar sujeto a inventario de los bienes bajo su custodia que, por su naturaleza, sean inalienables e imprescriptibles.</w:t>
      </w:r>
    </w:p>
    <w:p w:rsidR="00A87314" w:rsidRDefault="00A87314" w:rsidP="00BA3B8E">
      <w:pPr>
        <w:pStyle w:val="Texto"/>
        <w:spacing w:line="236" w:lineRule="exact"/>
      </w:pPr>
      <w:r w:rsidRPr="00082634">
        <w:rPr>
          <w:b/>
        </w:rPr>
        <w:t>Artículo 29.-</w:t>
      </w:r>
      <w:r w:rsidRPr="00082634">
        <w:t xml:space="preserve"> Las obras en proceso deberán registrarse invariablemente, en una cuenta contable específica del activo.</w:t>
      </w:r>
    </w:p>
    <w:p w:rsidR="00A87314" w:rsidRDefault="00A87314" w:rsidP="00BA3B8E">
      <w:pPr>
        <w:pStyle w:val="Texto"/>
        <w:spacing w:line="236" w:lineRule="exact"/>
      </w:pPr>
      <w:r w:rsidRPr="00082634">
        <w:rPr>
          <w:b/>
        </w:rPr>
        <w:t>Artículo 32.-</w:t>
      </w:r>
      <w:r w:rsidRPr="00082634">
        <w:t xml:space="preserve"> Los entes públicos deberán registrar en una cuenta de activo, los derechos patrimoniales que tengan en fideicomisos sin estructura orgánica, mandatos y contratos análogos. Asimismo, deberán registrar en una cuenta de activo la participación que tengan en el patrimonio o capital de las entidades de la administración pública paraestatal, así como de las empresas productivas del Estado.</w:t>
      </w:r>
    </w:p>
    <w:p w:rsidR="00A87314" w:rsidRDefault="00A87314" w:rsidP="00BA3B8E">
      <w:pPr>
        <w:pStyle w:val="Texto"/>
        <w:spacing w:line="236" w:lineRule="exact"/>
      </w:pPr>
      <w:r w:rsidRPr="00082634">
        <w:rPr>
          <w:b/>
        </w:rPr>
        <w:t xml:space="preserve">Artículo 46.- </w:t>
      </w:r>
      <w:r w:rsidRPr="00082634">
        <w:t>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rsidR="00A87314" w:rsidRDefault="00A87314" w:rsidP="00BA3B8E">
      <w:pPr>
        <w:pStyle w:val="Texto"/>
        <w:spacing w:line="236" w:lineRule="exact"/>
        <w:ind w:left="720" w:hanging="432"/>
      </w:pPr>
      <w:r w:rsidRPr="00082634">
        <w:rPr>
          <w:b/>
        </w:rPr>
        <w:t>I.</w:t>
      </w:r>
      <w:r w:rsidRPr="00082634">
        <w:tab/>
        <w:t>Información contable, con la desagregación siguiente:</w:t>
      </w:r>
    </w:p>
    <w:p w:rsidR="00A87314" w:rsidRDefault="00A87314" w:rsidP="00BA3B8E">
      <w:pPr>
        <w:pStyle w:val="Texto"/>
        <w:spacing w:line="236" w:lineRule="exact"/>
        <w:ind w:left="1152" w:hanging="432"/>
      </w:pPr>
      <w:r w:rsidRPr="00082634">
        <w:rPr>
          <w:b/>
        </w:rPr>
        <w:t>a)</w:t>
      </w:r>
      <w:r w:rsidRPr="00082634">
        <w:rPr>
          <w:b/>
        </w:rPr>
        <w:tab/>
      </w:r>
      <w:r w:rsidRPr="00082634">
        <w:t>Estado de actividades;</w:t>
      </w:r>
    </w:p>
    <w:p w:rsidR="00A87314" w:rsidRDefault="00A87314" w:rsidP="00BA3B8E">
      <w:pPr>
        <w:pStyle w:val="Texto"/>
        <w:spacing w:line="236" w:lineRule="exact"/>
        <w:ind w:left="1152" w:hanging="432"/>
        <w:rPr>
          <w:b/>
        </w:rPr>
      </w:pPr>
      <w:r w:rsidRPr="00082634">
        <w:rPr>
          <w:b/>
        </w:rPr>
        <w:t>b)</w:t>
      </w:r>
      <w:r w:rsidRPr="00082634">
        <w:rPr>
          <w:b/>
        </w:rPr>
        <w:tab/>
      </w:r>
      <w:r w:rsidRPr="00082634">
        <w:t>Estado de situación financiera;</w:t>
      </w:r>
    </w:p>
    <w:p w:rsidR="00A87314" w:rsidRDefault="00A87314" w:rsidP="00BA3B8E">
      <w:pPr>
        <w:pStyle w:val="Texto"/>
        <w:spacing w:line="236" w:lineRule="exact"/>
        <w:ind w:left="1152" w:hanging="432"/>
        <w:rPr>
          <w:b/>
        </w:rPr>
      </w:pPr>
      <w:r w:rsidRPr="00082634">
        <w:rPr>
          <w:b/>
        </w:rPr>
        <w:t>c)</w:t>
      </w:r>
      <w:r w:rsidRPr="00082634">
        <w:rPr>
          <w:b/>
        </w:rPr>
        <w:tab/>
      </w:r>
      <w:r w:rsidRPr="00082634">
        <w:t>Estado de variación en la hacienda pública;</w:t>
      </w:r>
    </w:p>
    <w:p w:rsidR="00A87314" w:rsidRDefault="00A87314" w:rsidP="00BA3B8E">
      <w:pPr>
        <w:pStyle w:val="Texto"/>
        <w:spacing w:line="236" w:lineRule="exact"/>
        <w:ind w:left="1152" w:hanging="432"/>
        <w:rPr>
          <w:b/>
        </w:rPr>
      </w:pPr>
      <w:r w:rsidRPr="00082634">
        <w:rPr>
          <w:b/>
        </w:rPr>
        <w:t>d)</w:t>
      </w:r>
      <w:r w:rsidRPr="00082634">
        <w:rPr>
          <w:b/>
        </w:rPr>
        <w:tab/>
      </w:r>
      <w:r w:rsidRPr="00082634">
        <w:t>Estado de cambios en la situación financiera;</w:t>
      </w:r>
    </w:p>
    <w:p w:rsidR="00A87314" w:rsidRDefault="00A87314" w:rsidP="00BA3B8E">
      <w:pPr>
        <w:pStyle w:val="Texto"/>
        <w:spacing w:line="236" w:lineRule="exact"/>
        <w:ind w:left="1152" w:hanging="432"/>
      </w:pPr>
      <w:r w:rsidRPr="00082634">
        <w:rPr>
          <w:b/>
        </w:rPr>
        <w:t>e)</w:t>
      </w:r>
      <w:r w:rsidRPr="00082634">
        <w:rPr>
          <w:b/>
        </w:rPr>
        <w:tab/>
      </w:r>
      <w:r w:rsidRPr="00082634">
        <w:t>Estado de flujos de efectivo;</w:t>
      </w:r>
    </w:p>
    <w:p w:rsidR="00A87314" w:rsidRDefault="00A87314" w:rsidP="00BA3B8E">
      <w:pPr>
        <w:pStyle w:val="Texto"/>
        <w:spacing w:line="236" w:lineRule="exact"/>
        <w:ind w:left="1152" w:hanging="432"/>
        <w:rPr>
          <w:b/>
        </w:rPr>
      </w:pPr>
      <w:r w:rsidRPr="00082634">
        <w:rPr>
          <w:b/>
        </w:rPr>
        <w:lastRenderedPageBreak/>
        <w:t>f)</w:t>
      </w:r>
      <w:r w:rsidRPr="00082634">
        <w:rPr>
          <w:b/>
        </w:rPr>
        <w:tab/>
      </w:r>
      <w:r w:rsidRPr="00082634">
        <w:t>Informes sobre pasivos contingentes;</w:t>
      </w:r>
    </w:p>
    <w:p w:rsidR="00A87314" w:rsidRDefault="00A87314" w:rsidP="00BA3B8E">
      <w:pPr>
        <w:pStyle w:val="Texto"/>
        <w:spacing w:line="236" w:lineRule="exact"/>
        <w:ind w:left="1152" w:hanging="432"/>
        <w:rPr>
          <w:b/>
        </w:rPr>
      </w:pPr>
      <w:r w:rsidRPr="00082634">
        <w:rPr>
          <w:b/>
        </w:rPr>
        <w:t>g)</w:t>
      </w:r>
      <w:r w:rsidRPr="00082634">
        <w:rPr>
          <w:b/>
        </w:rPr>
        <w:tab/>
      </w:r>
      <w:r w:rsidRPr="00082634">
        <w:t>Notas a los estados financieros;</w:t>
      </w:r>
    </w:p>
    <w:p w:rsidR="00A87314" w:rsidRDefault="00A87314" w:rsidP="00BA3B8E">
      <w:pPr>
        <w:pStyle w:val="Texto"/>
        <w:spacing w:line="242" w:lineRule="exact"/>
        <w:ind w:left="1152" w:hanging="432"/>
        <w:rPr>
          <w:b/>
        </w:rPr>
      </w:pPr>
      <w:r w:rsidRPr="00082634">
        <w:rPr>
          <w:b/>
        </w:rPr>
        <w:t>h)</w:t>
      </w:r>
      <w:r w:rsidRPr="00082634">
        <w:rPr>
          <w:b/>
        </w:rPr>
        <w:tab/>
      </w:r>
      <w:r w:rsidRPr="00082634">
        <w:t>Estado analítico del activo, e</w:t>
      </w:r>
    </w:p>
    <w:p w:rsidR="00A87314" w:rsidRDefault="00A87314" w:rsidP="00BA3B8E">
      <w:pPr>
        <w:pStyle w:val="Texto"/>
        <w:spacing w:line="242" w:lineRule="exact"/>
        <w:ind w:left="1152" w:hanging="432"/>
        <w:rPr>
          <w:b/>
        </w:rPr>
      </w:pPr>
      <w:r w:rsidRPr="00082634">
        <w:rPr>
          <w:b/>
        </w:rPr>
        <w:t>i)</w:t>
      </w:r>
      <w:r w:rsidRPr="00082634">
        <w:rPr>
          <w:b/>
        </w:rPr>
        <w:tab/>
      </w:r>
      <w:r w:rsidRPr="00082634">
        <w:t>Estado analítico de la deuda y otros pasivos, del cual se derivarán las clasificaciones siguientes:</w:t>
      </w:r>
    </w:p>
    <w:p w:rsidR="00A87314" w:rsidRDefault="00A87314" w:rsidP="00BA3B8E">
      <w:pPr>
        <w:pStyle w:val="Texto"/>
        <w:spacing w:line="242" w:lineRule="exact"/>
        <w:ind w:left="1584" w:hanging="432"/>
      </w:pPr>
      <w:r w:rsidRPr="00082634">
        <w:rPr>
          <w:b/>
        </w:rPr>
        <w:t>1.</w:t>
      </w:r>
      <w:r w:rsidRPr="00082634">
        <w:rPr>
          <w:b/>
        </w:rPr>
        <w:tab/>
      </w:r>
      <w:r w:rsidRPr="00082634">
        <w:t>Corto y largo plazo, así como por su origen en interna y externa;</w:t>
      </w:r>
    </w:p>
    <w:p w:rsidR="00A87314" w:rsidRDefault="00A87314" w:rsidP="00BA3B8E">
      <w:pPr>
        <w:pStyle w:val="Texto"/>
        <w:spacing w:line="242" w:lineRule="exact"/>
        <w:ind w:left="1584" w:hanging="432"/>
      </w:pPr>
      <w:r w:rsidRPr="00082634">
        <w:rPr>
          <w:b/>
        </w:rPr>
        <w:t>2.</w:t>
      </w:r>
      <w:r w:rsidRPr="00082634">
        <w:tab/>
        <w:t>Fuentes de financiamiento;</w:t>
      </w:r>
    </w:p>
    <w:p w:rsidR="00A87314" w:rsidRDefault="00A87314" w:rsidP="00BA3B8E">
      <w:pPr>
        <w:pStyle w:val="Texto"/>
        <w:spacing w:line="242" w:lineRule="exact"/>
        <w:ind w:left="1584" w:hanging="432"/>
      </w:pPr>
      <w:r w:rsidRPr="00082634">
        <w:rPr>
          <w:b/>
        </w:rPr>
        <w:t>3.</w:t>
      </w:r>
      <w:r w:rsidRPr="00082634">
        <w:tab/>
        <w:t>Por moneda de contratación, y</w:t>
      </w:r>
    </w:p>
    <w:p w:rsidR="00A87314" w:rsidRDefault="00A87314" w:rsidP="00BA3B8E">
      <w:pPr>
        <w:pStyle w:val="Texto"/>
        <w:spacing w:line="242" w:lineRule="exact"/>
        <w:ind w:left="1584" w:hanging="432"/>
      </w:pPr>
      <w:r w:rsidRPr="00082634">
        <w:rPr>
          <w:b/>
        </w:rPr>
        <w:t>4.</w:t>
      </w:r>
      <w:r w:rsidRPr="00082634">
        <w:tab/>
        <w:t>Por país acreedor;</w:t>
      </w:r>
    </w:p>
    <w:p w:rsidR="00A87314" w:rsidRDefault="00A87314" w:rsidP="00BA3B8E">
      <w:pPr>
        <w:pStyle w:val="Texto"/>
        <w:spacing w:line="242" w:lineRule="exact"/>
        <w:ind w:left="720" w:hanging="432"/>
      </w:pPr>
      <w:r w:rsidRPr="00082634">
        <w:rPr>
          <w:b/>
        </w:rPr>
        <w:t>II.</w:t>
      </w:r>
      <w:r w:rsidRPr="00082634">
        <w:tab/>
        <w:t>Información presupuestaria, con la desagregación siguiente:</w:t>
      </w:r>
    </w:p>
    <w:p w:rsidR="00A87314" w:rsidRDefault="00A87314" w:rsidP="00BA3B8E">
      <w:pPr>
        <w:pStyle w:val="Texto"/>
        <w:spacing w:line="242" w:lineRule="exact"/>
        <w:ind w:left="1152" w:hanging="432"/>
      </w:pPr>
      <w:r w:rsidRPr="00082634">
        <w:rPr>
          <w:b/>
        </w:rPr>
        <w:t>a)</w:t>
      </w:r>
      <w:r w:rsidRPr="00082634">
        <w:tab/>
        <w:t>Estado analítico de ingresos, del que se derivará la presentación en clasificación económica por fuente de financiamiento y concepto, incluyendo los ingresos excedentes generados;</w:t>
      </w:r>
    </w:p>
    <w:p w:rsidR="00A87314" w:rsidRDefault="00A87314" w:rsidP="00BA3B8E">
      <w:pPr>
        <w:pStyle w:val="Texto"/>
        <w:spacing w:line="242" w:lineRule="exact"/>
        <w:ind w:left="1152" w:hanging="432"/>
      </w:pPr>
      <w:r w:rsidRPr="00082634">
        <w:rPr>
          <w:b/>
        </w:rPr>
        <w:t>b)</w:t>
      </w:r>
      <w:r w:rsidRPr="00082634">
        <w:tab/>
        <w:t>Estado analítico del ejercicio del presupuesto de egresos del que se derivarán las clasificaciones siguientes:</w:t>
      </w:r>
    </w:p>
    <w:p w:rsidR="00A87314" w:rsidRDefault="00A87314" w:rsidP="00BA3B8E">
      <w:pPr>
        <w:pStyle w:val="Texto"/>
        <w:spacing w:line="242" w:lineRule="exact"/>
        <w:ind w:left="1584" w:hanging="432"/>
      </w:pPr>
      <w:r w:rsidRPr="00082634">
        <w:rPr>
          <w:b/>
        </w:rPr>
        <w:t>1.</w:t>
      </w:r>
      <w:r w:rsidRPr="00082634">
        <w:tab/>
        <w:t>Administrativa;</w:t>
      </w:r>
    </w:p>
    <w:p w:rsidR="00A87314" w:rsidRDefault="00A87314" w:rsidP="00BA3B8E">
      <w:pPr>
        <w:pStyle w:val="Texto"/>
        <w:spacing w:line="242" w:lineRule="exact"/>
        <w:ind w:left="1584" w:hanging="432"/>
        <w:rPr>
          <w:b/>
        </w:rPr>
      </w:pPr>
      <w:r w:rsidRPr="00082634">
        <w:rPr>
          <w:b/>
        </w:rPr>
        <w:t>2.</w:t>
      </w:r>
      <w:r w:rsidRPr="00082634">
        <w:rPr>
          <w:b/>
        </w:rPr>
        <w:tab/>
      </w:r>
      <w:r w:rsidRPr="00082634">
        <w:t>Económica;</w:t>
      </w:r>
    </w:p>
    <w:p w:rsidR="00A87314" w:rsidRDefault="00A87314" w:rsidP="00BA3B8E">
      <w:pPr>
        <w:pStyle w:val="Texto"/>
        <w:spacing w:line="242" w:lineRule="exact"/>
        <w:ind w:left="1584" w:hanging="432"/>
      </w:pPr>
      <w:r w:rsidRPr="00082634">
        <w:rPr>
          <w:b/>
        </w:rPr>
        <w:t>3.</w:t>
      </w:r>
      <w:r w:rsidRPr="00082634">
        <w:rPr>
          <w:b/>
        </w:rPr>
        <w:tab/>
      </w:r>
      <w:r w:rsidRPr="00082634">
        <w:t>Por objeto del gasto, y</w:t>
      </w:r>
    </w:p>
    <w:p w:rsidR="00A87314" w:rsidRDefault="00A87314" w:rsidP="00BA3B8E">
      <w:pPr>
        <w:pStyle w:val="Texto"/>
        <w:spacing w:line="242" w:lineRule="exact"/>
        <w:ind w:left="1584" w:hanging="432"/>
        <w:rPr>
          <w:b/>
        </w:rPr>
      </w:pPr>
      <w:r w:rsidRPr="00082634">
        <w:rPr>
          <w:b/>
        </w:rPr>
        <w:t>4.</w:t>
      </w:r>
      <w:r w:rsidRPr="00082634">
        <w:rPr>
          <w:b/>
        </w:rPr>
        <w:tab/>
      </w:r>
      <w:r w:rsidRPr="00082634">
        <w:t>Funcional.</w:t>
      </w:r>
    </w:p>
    <w:p w:rsidR="00A87314" w:rsidRDefault="00A87314" w:rsidP="00BA3B8E">
      <w:pPr>
        <w:pStyle w:val="Texto"/>
        <w:spacing w:line="242" w:lineRule="exact"/>
        <w:ind w:left="1152" w:hanging="432"/>
      </w:pPr>
      <w:r>
        <w:tab/>
      </w:r>
      <w:r w:rsidRPr="00082634">
        <w:t>El estado analítico del ejercicio del presupuesto de egresos deberá identificar los montos y adecuaciones presupuestarias y subejercicios por ramo y programa;</w:t>
      </w:r>
    </w:p>
    <w:p w:rsidR="00A87314" w:rsidRDefault="00A87314" w:rsidP="00BA3B8E">
      <w:pPr>
        <w:pStyle w:val="Texto"/>
        <w:spacing w:line="242" w:lineRule="exact"/>
        <w:ind w:left="1152" w:hanging="432"/>
      </w:pPr>
      <w:r w:rsidRPr="00082634">
        <w:rPr>
          <w:b/>
        </w:rPr>
        <w:t>c)</w:t>
      </w:r>
      <w:r w:rsidRPr="00082634">
        <w:tab/>
        <w:t>Endeudamiento neto, financiamiento menos amortización, del que derivará la clasificación por su origen en interno y externo;</w:t>
      </w:r>
    </w:p>
    <w:p w:rsidR="00A87314" w:rsidRDefault="00A87314" w:rsidP="00BA3B8E">
      <w:pPr>
        <w:pStyle w:val="Texto"/>
        <w:spacing w:line="242" w:lineRule="exact"/>
        <w:ind w:left="1152" w:hanging="432"/>
      </w:pPr>
      <w:r w:rsidRPr="00082634">
        <w:rPr>
          <w:b/>
        </w:rPr>
        <w:t>d)</w:t>
      </w:r>
      <w:r w:rsidRPr="00082634">
        <w:tab/>
        <w:t>Intereses de la deuda, y</w:t>
      </w:r>
    </w:p>
    <w:p w:rsidR="00A87314" w:rsidRDefault="00A87314" w:rsidP="00BA3B8E">
      <w:pPr>
        <w:pStyle w:val="Texto"/>
        <w:spacing w:line="242" w:lineRule="exact"/>
        <w:ind w:left="1152" w:hanging="432"/>
      </w:pPr>
      <w:r w:rsidRPr="00082634">
        <w:rPr>
          <w:b/>
        </w:rPr>
        <w:t>e)</w:t>
      </w:r>
      <w:r w:rsidRPr="00082634">
        <w:tab/>
        <w:t>Un flujo de fondos que resuma todas las operaciones;</w:t>
      </w:r>
    </w:p>
    <w:p w:rsidR="00A87314" w:rsidRDefault="00A87314" w:rsidP="00BA3B8E">
      <w:pPr>
        <w:pStyle w:val="Texto"/>
        <w:spacing w:line="242" w:lineRule="exact"/>
        <w:ind w:left="720" w:hanging="432"/>
      </w:pPr>
      <w:r w:rsidRPr="00082634">
        <w:rPr>
          <w:b/>
        </w:rPr>
        <w:t>III.</w:t>
      </w:r>
      <w:r w:rsidRPr="00082634">
        <w:tab/>
        <w:t>Información programática, con la desagregación siguiente:</w:t>
      </w:r>
    </w:p>
    <w:p w:rsidR="00A87314" w:rsidRDefault="00A87314" w:rsidP="00BA3B8E">
      <w:pPr>
        <w:pStyle w:val="Texto"/>
        <w:spacing w:line="242" w:lineRule="exact"/>
        <w:ind w:left="1152" w:hanging="432"/>
      </w:pPr>
      <w:r w:rsidRPr="00082634">
        <w:rPr>
          <w:b/>
        </w:rPr>
        <w:t>a)</w:t>
      </w:r>
      <w:r w:rsidRPr="00082634">
        <w:tab/>
        <w:t>Gasto por categoría programática;</w:t>
      </w:r>
    </w:p>
    <w:p w:rsidR="00A87314" w:rsidRDefault="00A87314" w:rsidP="00BA3B8E">
      <w:pPr>
        <w:pStyle w:val="Texto"/>
        <w:spacing w:line="242" w:lineRule="exact"/>
        <w:ind w:left="1152" w:hanging="432"/>
      </w:pPr>
      <w:r w:rsidRPr="00082634">
        <w:rPr>
          <w:b/>
        </w:rPr>
        <w:t>b)</w:t>
      </w:r>
      <w:r w:rsidRPr="00082634">
        <w:rPr>
          <w:b/>
        </w:rPr>
        <w:tab/>
      </w:r>
      <w:r w:rsidRPr="00082634">
        <w:t>Programas y proyectos de inversión, y</w:t>
      </w:r>
    </w:p>
    <w:p w:rsidR="00A87314" w:rsidRDefault="00A87314" w:rsidP="00BA3B8E">
      <w:pPr>
        <w:pStyle w:val="Texto"/>
        <w:spacing w:line="242" w:lineRule="exact"/>
        <w:ind w:left="1152" w:hanging="432"/>
      </w:pPr>
      <w:r w:rsidRPr="00082634">
        <w:rPr>
          <w:b/>
        </w:rPr>
        <w:t>c)</w:t>
      </w:r>
      <w:r w:rsidRPr="00082634">
        <w:tab/>
        <w:t>Indicadores de resultados, y</w:t>
      </w:r>
    </w:p>
    <w:p w:rsidR="00A87314" w:rsidRDefault="00A87314" w:rsidP="00BA3B8E">
      <w:pPr>
        <w:pStyle w:val="Texto"/>
        <w:spacing w:line="242" w:lineRule="exact"/>
        <w:ind w:left="720" w:hanging="432"/>
      </w:pPr>
      <w:r w:rsidRPr="00082634">
        <w:rPr>
          <w:b/>
        </w:rPr>
        <w:t>IV.</w:t>
      </w:r>
      <w:r w:rsidRPr="00082634">
        <w:tab/>
        <w:t>La información complementaria para generar las cuentas nacionales y atender otros requerimientos provenientes de organismos internacionales de los que México es miembro.</w:t>
      </w:r>
    </w:p>
    <w:p w:rsidR="00A87314" w:rsidRDefault="00A87314" w:rsidP="00BA3B8E">
      <w:pPr>
        <w:pStyle w:val="Texto"/>
        <w:spacing w:line="242" w:lineRule="exact"/>
      </w:pPr>
      <w:r w:rsidRPr="00082634">
        <w:t>Los estados analíticos sobre deuda pública y otros pasivos, y el de patrimonio deberán considerar por concepto el saldo inicial del ejercicio, las entradas y salidas por transacciones, otros flujos económicos y el saldo final del ejercicio.</w:t>
      </w:r>
    </w:p>
    <w:p w:rsidR="00A87314" w:rsidRDefault="00A87314" w:rsidP="00BA3B8E">
      <w:pPr>
        <w:pStyle w:val="Texto"/>
        <w:spacing w:line="242" w:lineRule="exact"/>
      </w:pPr>
      <w:r w:rsidRPr="00082634">
        <w:t>En las cuentas públicas se reportarán los esquemas bursátiles y de coberturas financieras de los entes públicos.</w:t>
      </w:r>
    </w:p>
    <w:p w:rsidR="00A87314" w:rsidRDefault="00A87314" w:rsidP="00BA3B8E">
      <w:pPr>
        <w:pStyle w:val="Texto"/>
        <w:spacing w:line="242" w:lineRule="exact"/>
      </w:pPr>
      <w:r w:rsidRPr="00082634">
        <w:rPr>
          <w:b/>
        </w:rPr>
        <w:t>Artículo 47.-</w:t>
      </w:r>
      <w:r w:rsidRPr="00082634">
        <w:t xml:space="preserve"> En lo relativo a las entidades federativas, los sistemas contables de los poderes 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 sigue:</w:t>
      </w:r>
    </w:p>
    <w:p w:rsidR="00A87314" w:rsidRDefault="00A87314" w:rsidP="00BA3B8E">
      <w:pPr>
        <w:pStyle w:val="Texto"/>
        <w:spacing w:line="242" w:lineRule="exact"/>
      </w:pPr>
      <w:r w:rsidRPr="00082634">
        <w:rPr>
          <w:b/>
        </w:rPr>
        <w:t>I.</w:t>
      </w:r>
      <w:r w:rsidRPr="00082634">
        <w:t xml:space="preserve"> a </w:t>
      </w:r>
      <w:r w:rsidRPr="00082634">
        <w:rPr>
          <w:b/>
        </w:rPr>
        <w:t>III.</w:t>
      </w:r>
      <w:r w:rsidRPr="00082634">
        <w:t xml:space="preserve"> </w:t>
      </w:r>
      <w:r w:rsidRPr="006B2503">
        <w:rPr>
          <w:b/>
        </w:rPr>
        <w:t>...</w:t>
      </w:r>
    </w:p>
    <w:p w:rsidR="00A87314" w:rsidRDefault="00A87314" w:rsidP="00BA3B8E">
      <w:pPr>
        <w:pStyle w:val="Texto"/>
        <w:spacing w:line="242" w:lineRule="exact"/>
      </w:pPr>
      <w:r w:rsidRPr="00082634">
        <w:rPr>
          <w:b/>
        </w:rPr>
        <w:t>Artículo 48.-</w:t>
      </w:r>
      <w:r w:rsidRPr="00082634">
        <w:t xml:space="preserve"> En lo relativo a los ayuntamientos de los municipios o los órganos político-administrativos de las demarcaciones territoriales del Distrito Federal y las entidades de la Administración Pública Paraestatal municipal, los sistemas deberán producir, como mínimo, la información contable y presupuestaria a que se refiere el artículo 46, fracciones I, incisos a), b), c), d), e), g) y h), y II, incisos a) y b) de la presente Ley.</w:t>
      </w:r>
    </w:p>
    <w:p w:rsidR="00A87314" w:rsidRDefault="00A87314" w:rsidP="00BA3B8E">
      <w:pPr>
        <w:pStyle w:val="Texto"/>
        <w:spacing w:line="242" w:lineRule="exact"/>
      </w:pPr>
      <w:r w:rsidRPr="00082634">
        <w:rPr>
          <w:b/>
        </w:rPr>
        <w:lastRenderedPageBreak/>
        <w:t>Artículo 55.-</w:t>
      </w:r>
      <w:r w:rsidRPr="00082634">
        <w:t xml:space="preserve"> Las cuentas públicas de los ayuntamientos de los municipios deberán contener la información contable y presupuestaria a que se refiere el artículo 48 de la presente Ley conforme a lo que determine el Consejo, en atención a las características de los mismos.</w:t>
      </w:r>
    </w:p>
    <w:p w:rsidR="00A87314" w:rsidRDefault="00A87314" w:rsidP="00BA3B8E">
      <w:pPr>
        <w:pStyle w:val="Texto"/>
        <w:spacing w:line="230" w:lineRule="exact"/>
      </w:pPr>
      <w:r w:rsidRPr="00082634">
        <w:rPr>
          <w:b/>
        </w:rPr>
        <w:t>Artículo 79.</w:t>
      </w:r>
      <w:proofErr w:type="gramStart"/>
      <w:r w:rsidRPr="00082634">
        <w:rPr>
          <w:b/>
        </w:rPr>
        <w:t>-</w:t>
      </w:r>
      <w:r w:rsidRPr="00082634">
        <w:t xml:space="preserve"> </w:t>
      </w:r>
      <w:r w:rsidRPr="006B2503">
        <w:rPr>
          <w:b/>
        </w:rPr>
        <w:t>...</w:t>
      </w:r>
      <w:proofErr w:type="gramEnd"/>
    </w:p>
    <w:p w:rsidR="00A87314" w:rsidRDefault="00A87314" w:rsidP="00BA3B8E">
      <w:pPr>
        <w:pStyle w:val="Texto"/>
        <w:spacing w:line="230" w:lineRule="exact"/>
      </w:pPr>
      <w:r w:rsidRPr="006B2503">
        <w:rPr>
          <w:b/>
        </w:rPr>
        <w:t>...</w:t>
      </w:r>
    </w:p>
    <w:p w:rsidR="00A87314" w:rsidRDefault="00A87314" w:rsidP="00BA3B8E">
      <w:pPr>
        <w:pStyle w:val="Texto"/>
        <w:spacing w:line="230" w:lineRule="exact"/>
      </w:pPr>
      <w:r w:rsidRPr="00082634">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del Distrito Federal,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rsidR="00A87314" w:rsidRDefault="00A87314" w:rsidP="00BA3B8E">
      <w:pPr>
        <w:pStyle w:val="Texto"/>
        <w:spacing w:line="230" w:lineRule="exact"/>
      </w:pPr>
      <w:r w:rsidRPr="00082634">
        <w:rPr>
          <w:b/>
        </w:rPr>
        <w:t>Artículo 80.</w:t>
      </w:r>
      <w:proofErr w:type="gramStart"/>
      <w:r w:rsidRPr="00082634">
        <w:rPr>
          <w:b/>
        </w:rPr>
        <w:t>-</w:t>
      </w:r>
      <w:r w:rsidRPr="00082634">
        <w:t xml:space="preserve"> </w:t>
      </w:r>
      <w:r w:rsidRPr="006B2503">
        <w:rPr>
          <w:b/>
        </w:rPr>
        <w:t>...</w:t>
      </w:r>
      <w:proofErr w:type="gramEnd"/>
    </w:p>
    <w:p w:rsidR="00A87314" w:rsidRDefault="00A87314" w:rsidP="00BA3B8E">
      <w:pPr>
        <w:pStyle w:val="Texto"/>
        <w:spacing w:line="230" w:lineRule="exact"/>
      </w:pPr>
      <w:r w:rsidRPr="00082634">
        <w:t>La Secretaría de Hacienda, con el apoyo técnico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rsidR="00A87314" w:rsidRDefault="00A87314" w:rsidP="00BA3B8E">
      <w:pPr>
        <w:pStyle w:val="Texto"/>
        <w:spacing w:line="230" w:lineRule="exact"/>
      </w:pPr>
      <w:r w:rsidRPr="006B2503">
        <w:rPr>
          <w:b/>
        </w:rPr>
        <w:t>...</w:t>
      </w:r>
    </w:p>
    <w:p w:rsidR="00A87314" w:rsidRDefault="00A87314" w:rsidP="00BA3B8E">
      <w:pPr>
        <w:pStyle w:val="Texto"/>
        <w:spacing w:line="230" w:lineRule="exact"/>
      </w:pPr>
      <w:r w:rsidRPr="006B2503">
        <w:rPr>
          <w:b/>
        </w:rPr>
        <w:t>...</w:t>
      </w:r>
    </w:p>
    <w:p w:rsidR="00A87314" w:rsidRDefault="00A87314" w:rsidP="00BA3B8E">
      <w:pPr>
        <w:pStyle w:val="Texto"/>
        <w:spacing w:line="230" w:lineRule="exact"/>
      </w:pPr>
      <w:r w:rsidRPr="00082634">
        <w:rPr>
          <w:b/>
        </w:rPr>
        <w:t>Artículo Segundo.-</w:t>
      </w:r>
      <w:r w:rsidRPr="00082634">
        <w:t xml:space="preserve"> Se reforman los artículos 6, párrafo primero y 111, párrafos primero y segundo de la Ley Federal de Presupuesto y Responsabilidad Hacendaria, para quedar como sigue:</w:t>
      </w:r>
    </w:p>
    <w:p w:rsidR="00A87314" w:rsidRDefault="00A87314" w:rsidP="00BA3B8E">
      <w:pPr>
        <w:pStyle w:val="Texto"/>
        <w:spacing w:line="230" w:lineRule="exact"/>
      </w:pPr>
      <w:r w:rsidRPr="00082634">
        <w:rPr>
          <w:b/>
        </w:rPr>
        <w:t>Artículo 6.-</w:t>
      </w:r>
      <w:r w:rsidRPr="00082634">
        <w:t xml:space="preserve"> El Ejecutivo Federal, por conducto de la Secretaría, estará a cargo de la programación, </w:t>
      </w:r>
      <w:proofErr w:type="spellStart"/>
      <w:r w:rsidRPr="00082634">
        <w:t>presupuestación</w:t>
      </w:r>
      <w:proofErr w:type="spellEnd"/>
      <w:r w:rsidRPr="00082634">
        <w:t>, evaluación y control presupuestario del gasto público federal correspondiente a las dependencias y entidades. Asimismo, la Función Pública, en términos de las disposiciones jurídicas que rigen sus funciones de control y auditoría, inspeccionará y vigilará el cumplimiento de las disposiciones de esta Ley y de las que de ella emanen, respecto de dicho gasto por parte de las dependencias y entidades.</w:t>
      </w:r>
    </w:p>
    <w:p w:rsidR="00A87314" w:rsidRDefault="00A87314" w:rsidP="00BA3B8E">
      <w:pPr>
        <w:pStyle w:val="Texto"/>
        <w:spacing w:line="230" w:lineRule="exact"/>
      </w:pPr>
      <w:r w:rsidRPr="006B2503">
        <w:rPr>
          <w:b/>
        </w:rPr>
        <w:t>...</w:t>
      </w:r>
    </w:p>
    <w:p w:rsidR="00A87314" w:rsidRDefault="00A87314" w:rsidP="00BA3B8E">
      <w:pPr>
        <w:pStyle w:val="Texto"/>
        <w:spacing w:line="230" w:lineRule="exact"/>
      </w:pPr>
      <w:r w:rsidRPr="00082634">
        <w:rPr>
          <w:b/>
        </w:rPr>
        <w:t>Artículo 111.-</w:t>
      </w:r>
      <w:r w:rsidRPr="00082634">
        <w:t xml:space="preserve"> La Secretaría verificará periódicamente, al menos cada trimestre, los resultados de recaudación y de ejecución de los programas y presupuestos de las dependencias y entidades, con base en el sistema de evaluación del desempeño, entre otros, para identificar la eficiencia, economía, eficacia, y la calidad en la Administración Pública Federal y el impacto social del ejercicio del gasto público, así como aplicar las medidas conducentes. Igual obligación y para los mismos fines, tendrán las dependencias, respecto de sus entidades coordinadas.</w:t>
      </w:r>
    </w:p>
    <w:p w:rsidR="00A87314" w:rsidRDefault="00A87314" w:rsidP="00BA3B8E">
      <w:pPr>
        <w:pStyle w:val="Texto"/>
        <w:spacing w:line="230" w:lineRule="exact"/>
      </w:pPr>
      <w:r w:rsidRPr="00082634">
        <w:t xml:space="preserve">El sistema de evaluación del desempeño a que se refiere el párrafo anterior será obligatorio para los ejecutores de gasto. Dicho sistema incorporará indicadores para evaluar los resultados presentados en </w:t>
      </w:r>
      <w:r w:rsidR="00DF2DBC">
        <w:t xml:space="preserve"> </w:t>
      </w:r>
      <w:r w:rsidRPr="00082634">
        <w:t>los informes trimestrales, enfatizando en la calidad de los bienes y servicios públicos, la satisfacción del ciudadano y el cumplimiento de los criterios establecidos en el párrafo segundo del artículo 1 de esta Ley. La Secretaría emitirá las disposiciones para la aplicación y evaluación de los indicadores estratégicos en las dependencias y entidades. Los Poderes Legislativo y Judicial y los entes autónomos emitirán sus respectivas disposiciones por conducto de sus unidades de administración.</w:t>
      </w:r>
    </w:p>
    <w:p w:rsidR="00A87314" w:rsidRDefault="00A87314" w:rsidP="00BA3B8E">
      <w:pPr>
        <w:pStyle w:val="Texto"/>
        <w:spacing w:line="230" w:lineRule="exact"/>
      </w:pPr>
      <w:r w:rsidRPr="006B2503">
        <w:rPr>
          <w:b/>
        </w:rPr>
        <w:t>...</w:t>
      </w:r>
    </w:p>
    <w:p w:rsidR="00A87314" w:rsidRDefault="00A87314" w:rsidP="00BA3B8E">
      <w:pPr>
        <w:pStyle w:val="Texto"/>
        <w:spacing w:line="230" w:lineRule="exact"/>
      </w:pPr>
      <w:r w:rsidRPr="006B2503">
        <w:rPr>
          <w:b/>
        </w:rPr>
        <w:t>...</w:t>
      </w:r>
    </w:p>
    <w:p w:rsidR="00A87314" w:rsidRDefault="00A87314" w:rsidP="00BA3B8E">
      <w:pPr>
        <w:pStyle w:val="Texto"/>
        <w:spacing w:line="230" w:lineRule="exact"/>
        <w:rPr>
          <w:b/>
        </w:rPr>
      </w:pPr>
      <w:r w:rsidRPr="006B2503">
        <w:rPr>
          <w:b/>
        </w:rPr>
        <w:t>...</w:t>
      </w:r>
    </w:p>
    <w:p w:rsidR="00A87314" w:rsidRDefault="00A87314" w:rsidP="00BA3B8E">
      <w:pPr>
        <w:pStyle w:val="ANOTACION"/>
        <w:spacing w:line="230" w:lineRule="exact"/>
      </w:pPr>
      <w:r w:rsidRPr="00082634">
        <w:t>Transitorios</w:t>
      </w:r>
    </w:p>
    <w:p w:rsidR="00A87314" w:rsidRDefault="00A87314" w:rsidP="00BA3B8E">
      <w:pPr>
        <w:pStyle w:val="Texto"/>
        <w:spacing w:line="230" w:lineRule="exact"/>
      </w:pPr>
      <w:r w:rsidRPr="00082634">
        <w:rPr>
          <w:b/>
        </w:rPr>
        <w:t>Primero.</w:t>
      </w:r>
      <w:r w:rsidRPr="00082634">
        <w:t xml:space="preserve"> El presente Decreto entrará en vigor el día siguiente al de su publicación en el Diario Oficial de la Federación.</w:t>
      </w:r>
    </w:p>
    <w:p w:rsidR="00A87314" w:rsidRDefault="00A87314" w:rsidP="00BA3B8E">
      <w:pPr>
        <w:pStyle w:val="Texto"/>
        <w:spacing w:line="230" w:lineRule="exact"/>
      </w:pPr>
      <w:r w:rsidRPr="00082634">
        <w:rPr>
          <w:b/>
        </w:rPr>
        <w:lastRenderedPageBreak/>
        <w:t>Segundo.</w:t>
      </w:r>
      <w:r w:rsidRPr="00082634">
        <w:t xml:space="preserve"> El Consejo Nacional de Armonización Contable, dentro de los sesenta días naturales siguientes a la entrada en vigor del presente Decreto, emitirá las reglas de operación que deberán cumplir las entidades federativas para la integración y funcionamiento de sus consejos de armonización contable.</w:t>
      </w:r>
    </w:p>
    <w:p w:rsidR="00A87314" w:rsidRDefault="00A87314" w:rsidP="00BA3B8E">
      <w:pPr>
        <w:pStyle w:val="Texto"/>
        <w:spacing w:line="230" w:lineRule="exact"/>
      </w:pPr>
      <w:r w:rsidRPr="00082634">
        <w:rPr>
          <w:b/>
        </w:rPr>
        <w:t>Tercero.</w:t>
      </w:r>
      <w:r w:rsidRPr="00082634">
        <w:t xml:space="preserve"> Las entidades federativas deberán instalar sus consejos de armonización contable a más tardar a los treinta días naturales siguientes a la emisión de las reglas a que se refiere el artículo transitorio anterior.</w:t>
      </w:r>
    </w:p>
    <w:p w:rsidR="00A87314" w:rsidRDefault="00A87314" w:rsidP="00BA3B8E">
      <w:pPr>
        <w:pStyle w:val="Texto"/>
        <w:spacing w:line="230" w:lineRule="exact"/>
      </w:pPr>
      <w:r w:rsidRPr="00082634">
        <w:rPr>
          <w:b/>
        </w:rPr>
        <w:t>Cuarto.</w:t>
      </w:r>
      <w:r w:rsidRPr="00082634">
        <w:t xml:space="preserve"> 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 2013.</w:t>
      </w:r>
    </w:p>
    <w:p w:rsidR="00A87314" w:rsidRDefault="00A87314" w:rsidP="00BA3B8E">
      <w:pPr>
        <w:pStyle w:val="Texto"/>
        <w:spacing w:line="230" w:lineRule="exact"/>
      </w:pPr>
      <w:r w:rsidRPr="00082634">
        <w:rPr>
          <w:b/>
        </w:rPr>
        <w:t>Quinto.</w:t>
      </w:r>
      <w:r w:rsidRPr="00082634">
        <w:t xml:space="preserve"> 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 Decreto.</w:t>
      </w:r>
    </w:p>
    <w:p w:rsidR="00A87314" w:rsidRDefault="00A87314" w:rsidP="00BA3B8E">
      <w:pPr>
        <w:pStyle w:val="Texto"/>
        <w:spacing w:line="230" w:lineRule="exact"/>
      </w:pPr>
      <w:r w:rsidRPr="00082634">
        <w:rPr>
          <w:b/>
        </w:rPr>
        <w:t>Sexto.</w:t>
      </w:r>
      <w:r w:rsidRPr="00082634">
        <w:t xml:space="preserve"> Derivado de lo previsto en el presente Decreto, los trámites que se hayan iniciado ante la Secretaría de la Función Pública serán concluidos por la Secretaría de Hacienda y Crédito Público.</w:t>
      </w:r>
    </w:p>
    <w:p w:rsidR="00A87314" w:rsidRDefault="00A87314" w:rsidP="00BA3B8E">
      <w:pPr>
        <w:pStyle w:val="Texto"/>
        <w:spacing w:line="230" w:lineRule="exact"/>
      </w:pPr>
      <w:r w:rsidRPr="00082634">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rsidR="00A87314" w:rsidRDefault="00A87314" w:rsidP="00BA3B8E">
      <w:pPr>
        <w:pStyle w:val="Texto"/>
        <w:spacing w:line="230" w:lineRule="exact"/>
      </w:pPr>
      <w:r w:rsidRPr="00082634">
        <w:t>Las erogaciones que, en su caso, realicen las dependencias a que se refiere el párrafo anterior en cumplimiento a este Decreto, se cubrirán con cargo a sus respectivos presupuestos aprobados para el ejercicio fiscal correspondiente.</w:t>
      </w:r>
    </w:p>
    <w:p w:rsidR="00A87314" w:rsidRDefault="00A87314" w:rsidP="00BA3B8E">
      <w:pPr>
        <w:pStyle w:val="Texto"/>
        <w:spacing w:line="230" w:lineRule="exact"/>
      </w:pPr>
      <w:r w:rsidRPr="00082634">
        <w:rPr>
          <w:b/>
        </w:rPr>
        <w:t>Séptimo.</w:t>
      </w:r>
      <w:r w:rsidRPr="00082634">
        <w:t xml:space="preserve"> Se derogan todas las disposiciones que se opongan a lo dispuesto en el presente Decreto.</w:t>
      </w:r>
    </w:p>
    <w:p w:rsidR="00A87314" w:rsidRDefault="00A87314" w:rsidP="00BA3B8E">
      <w:pPr>
        <w:pStyle w:val="Texto"/>
        <w:spacing w:line="230" w:lineRule="exact"/>
      </w:pPr>
      <w:r w:rsidRPr="00082634">
        <w:t xml:space="preserve">México, D.F., a 14 de diciembre de 2015.- </w:t>
      </w:r>
      <w:proofErr w:type="spellStart"/>
      <w:r w:rsidRPr="00082634">
        <w:t>Dip</w:t>
      </w:r>
      <w:proofErr w:type="spellEnd"/>
      <w:r w:rsidRPr="00082634">
        <w:t xml:space="preserve">. </w:t>
      </w:r>
      <w:r w:rsidRPr="004C0A11">
        <w:rPr>
          <w:b/>
        </w:rPr>
        <w:t>José de Jesús Zambrano Grijalva</w:t>
      </w:r>
      <w:r w:rsidRPr="00082634">
        <w:t xml:space="preserve">, Presidente.- </w:t>
      </w:r>
      <w:proofErr w:type="spellStart"/>
      <w:r w:rsidRPr="00082634">
        <w:t>Sen</w:t>
      </w:r>
      <w:proofErr w:type="spellEnd"/>
      <w:r w:rsidRPr="00082634">
        <w:t xml:space="preserve">. </w:t>
      </w:r>
      <w:r w:rsidRPr="004C0A11">
        <w:rPr>
          <w:b/>
        </w:rPr>
        <w:t xml:space="preserve">Roberto Gil </w:t>
      </w:r>
      <w:proofErr w:type="spellStart"/>
      <w:r w:rsidRPr="004C0A11">
        <w:rPr>
          <w:b/>
        </w:rPr>
        <w:t>Zuarth</w:t>
      </w:r>
      <w:proofErr w:type="spellEnd"/>
      <w:r w:rsidRPr="00082634">
        <w:t xml:space="preserve">, Presidente.- </w:t>
      </w:r>
      <w:proofErr w:type="spellStart"/>
      <w:r w:rsidRPr="00082634">
        <w:t>Dip</w:t>
      </w:r>
      <w:proofErr w:type="spellEnd"/>
      <w:r w:rsidRPr="00082634">
        <w:t xml:space="preserve">. </w:t>
      </w:r>
      <w:r w:rsidRPr="004C0A11">
        <w:rPr>
          <w:b/>
        </w:rPr>
        <w:t>Ernestina Godoy Ramos</w:t>
      </w:r>
      <w:r w:rsidRPr="00082634">
        <w:t xml:space="preserve">, Secretaria.- </w:t>
      </w:r>
      <w:proofErr w:type="spellStart"/>
      <w:r w:rsidRPr="00082634">
        <w:t>Sen</w:t>
      </w:r>
      <w:proofErr w:type="spellEnd"/>
      <w:r w:rsidRPr="00082634">
        <w:t xml:space="preserve">. </w:t>
      </w:r>
      <w:r w:rsidRPr="004C0A11">
        <w:rPr>
          <w:b/>
        </w:rPr>
        <w:t>María Elena Barrera Tapia</w:t>
      </w:r>
      <w:r w:rsidRPr="00082634">
        <w:t>, Secretaria.- Rúbricas.</w:t>
      </w:r>
      <w:r w:rsidRPr="00082634">
        <w:rPr>
          <w:b/>
        </w:rPr>
        <w:t>"</w:t>
      </w:r>
    </w:p>
    <w:p w:rsidR="00BA3B8E" w:rsidRDefault="00A87314" w:rsidP="00BA3B8E">
      <w:pPr>
        <w:pStyle w:val="Texto"/>
        <w:spacing w:after="90" w:line="230" w:lineRule="exact"/>
      </w:pPr>
      <w:r w:rsidRPr="00082634">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w:t>
      </w:r>
      <w:r w:rsidR="00BA3B8E" w:rsidRPr="00FF08C0">
        <w:t>a</w:t>
      </w:r>
      <w:r w:rsidR="00BA3B8E">
        <w:t xml:space="preserve"> veintitrés de diciembre de dos mil quince.- </w:t>
      </w:r>
      <w:r w:rsidR="00BA3B8E" w:rsidRPr="00AC7F44">
        <w:rPr>
          <w:b/>
        </w:rPr>
        <w:t>Enrique Peña Nieto</w:t>
      </w:r>
      <w:r w:rsidR="00BA3B8E">
        <w:t xml:space="preserve">.- Rúbrica.- </w:t>
      </w:r>
      <w:r w:rsidR="00BA3B8E" w:rsidRPr="00AC7F44">
        <w:t>El Secretario de Gobernación</w:t>
      </w:r>
      <w:r w:rsidR="00BA3B8E">
        <w:t xml:space="preserve">, </w:t>
      </w:r>
      <w:r w:rsidR="00BA3B8E" w:rsidRPr="00800ECC">
        <w:rPr>
          <w:b/>
        </w:rPr>
        <w:t>Miguel Ángel Osorio Chong</w:t>
      </w:r>
      <w:r w:rsidR="00BA3B8E">
        <w:t>.- Rúbrica.</w:t>
      </w:r>
    </w:p>
    <w:p w:rsidR="00BA3B8E" w:rsidRDefault="00BA3B8E" w:rsidP="00BA3B8E">
      <w:pPr>
        <w:pStyle w:val="Texto"/>
        <w:spacing w:after="90" w:line="230" w:lineRule="exact"/>
      </w:pPr>
    </w:p>
    <w:p w:rsidR="00BA3B8E" w:rsidRDefault="00BA3B8E" w:rsidP="00BA3B8E">
      <w:pPr>
        <w:pStyle w:val="Texto"/>
        <w:spacing w:after="90" w:line="230" w:lineRule="exact"/>
      </w:pPr>
    </w:p>
    <w:sectPr w:rsidR="00BA3B8E" w:rsidSect="00110AC3">
      <w:headerReference w:type="even" r:id="rId7"/>
      <w:headerReference w:type="default" r:id="rId8"/>
      <w:pgSz w:w="12240" w:h="15840" w:code="1"/>
      <w:pgMar w:top="1152" w:right="1699" w:bottom="1296" w:left="1699" w:header="706" w:footer="706" w:gutter="0"/>
      <w:pgNumType w:start="2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4C2F" w:rsidRDefault="003F4C2F">
      <w:r>
        <w:separator/>
      </w:r>
    </w:p>
  </w:endnote>
  <w:endnote w:type="continuationSeparator" w:id="0">
    <w:p w:rsidR="003F4C2F" w:rsidRDefault="003F4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4C2F" w:rsidRDefault="003F4C2F">
      <w:r>
        <w:separator/>
      </w:r>
    </w:p>
  </w:footnote>
  <w:footnote w:type="continuationSeparator" w:id="0">
    <w:p w:rsidR="003F4C2F" w:rsidRDefault="003F4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2B" w:rsidRPr="00DF2DBC" w:rsidRDefault="00DF2DBC" w:rsidP="00F7442B">
    <w:pPr>
      <w:pStyle w:val="Fechas"/>
      <w:rPr>
        <w:rFonts w:cs="Times New Roman"/>
      </w:rPr>
    </w:pPr>
    <w:r>
      <w:rPr>
        <w:rFonts w:cs="Times New Roman"/>
      </w:rPr>
      <w:t xml:space="preserve"> </w:t>
    </w:r>
    <w:r w:rsidR="00110AC3" w:rsidRPr="00DF2DBC">
      <w:rPr>
        <w:rFonts w:cs="Times New Roman"/>
      </w:rPr>
      <w:t xml:space="preserve">     (Primera Sección)</w:t>
    </w:r>
    <w:r w:rsidR="00F7442B" w:rsidRPr="00DF2DBC">
      <w:rPr>
        <w:rFonts w:cs="Times New Roman"/>
      </w:rPr>
      <w:tab/>
      <w:t>DIARIO OFICIAL</w:t>
    </w:r>
    <w:r w:rsidR="00F7442B" w:rsidRPr="00DF2DBC">
      <w:rPr>
        <w:rFonts w:cs="Times New Roman"/>
      </w:rPr>
      <w:tab/>
    </w:r>
    <w:proofErr w:type="gramStart"/>
    <w:r w:rsidR="00F7442B" w:rsidRPr="00DF2DBC">
      <w:rPr>
        <w:rFonts w:cs="Times New Roman"/>
      </w:rPr>
      <w:t>Miércoles</w:t>
    </w:r>
    <w:proofErr w:type="gramEnd"/>
    <w:r w:rsidR="00F7442B" w:rsidRPr="00DF2DBC">
      <w:rPr>
        <w:rFonts w:cs="Times New Roman"/>
      </w:rPr>
      <w:t xml:space="preserve"> 30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2B" w:rsidRDefault="00F7442B" w:rsidP="00F7442B">
    <w:pPr>
      <w:pStyle w:val="Fechas"/>
      <w:rPr>
        <w:rFonts w:cs="Times New Roman"/>
      </w:rPr>
    </w:pPr>
    <w:r w:rsidRPr="00DF2DBC">
      <w:rPr>
        <w:rFonts w:cs="Times New Roman"/>
      </w:rPr>
      <w:t>Miércoles 30 de diciembre de 2015</w:t>
    </w:r>
    <w:r w:rsidRPr="00DF2DBC">
      <w:rPr>
        <w:rFonts w:cs="Times New Roman"/>
      </w:rPr>
      <w:tab/>
      <w:t>DIARIO OFICIAL</w:t>
    </w:r>
    <w:r w:rsidRPr="00DF2DBC">
      <w:rPr>
        <w:rFonts w:cs="Times New Roman"/>
      </w:rPr>
      <w:tab/>
    </w:r>
    <w:r w:rsidR="00110AC3" w:rsidRPr="00DF2DBC">
      <w:rPr>
        <w:rFonts w:cs="Times New Roman"/>
      </w:rPr>
      <w:t xml:space="preserve">(Primera Sección)     </w:t>
    </w:r>
  </w:p>
  <w:p w:rsidR="00D366FF" w:rsidRPr="00DF2DBC" w:rsidRDefault="00D366FF" w:rsidP="00F7442B">
    <w:pPr>
      <w:pStyle w:val="Fecha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attachedTemplate r:id="rId1"/>
  <w:stylePaneFormatFilter w:val="3F01"/>
  <w:defaultTabStop w:val="706"/>
  <w:hyphenationZone w:val="425"/>
  <w:evenAndOddHeaders/>
  <w:characterSpacingControl w:val="doNotCompress"/>
  <w:hdrShapeDefaults>
    <o:shapedefaults v:ext="edit" spidmax="3074"/>
  </w:hdrShapeDefaults>
  <w:footnotePr>
    <w:footnote w:id="-1"/>
    <w:footnote w:id="0"/>
  </w:footnotePr>
  <w:endnotePr>
    <w:endnote w:id="-1"/>
    <w:endnote w:id="0"/>
  </w:endnotePr>
  <w:compat/>
  <w:rsids>
    <w:rsidRoot w:val="00F7442B"/>
    <w:rsid w:val="00014A03"/>
    <w:rsid w:val="00085CFF"/>
    <w:rsid w:val="000934C4"/>
    <w:rsid w:val="0009481B"/>
    <w:rsid w:val="000B42E5"/>
    <w:rsid w:val="000C50D4"/>
    <w:rsid w:val="000D7C9E"/>
    <w:rsid w:val="000F0FA3"/>
    <w:rsid w:val="000F706A"/>
    <w:rsid w:val="00100794"/>
    <w:rsid w:val="0010703B"/>
    <w:rsid w:val="00110AC3"/>
    <w:rsid w:val="001303A7"/>
    <w:rsid w:val="001311A0"/>
    <w:rsid w:val="00140A5C"/>
    <w:rsid w:val="00155A7E"/>
    <w:rsid w:val="001574EC"/>
    <w:rsid w:val="001642EF"/>
    <w:rsid w:val="00176B02"/>
    <w:rsid w:val="0018568B"/>
    <w:rsid w:val="001A0DA7"/>
    <w:rsid w:val="001B409C"/>
    <w:rsid w:val="001B5DDF"/>
    <w:rsid w:val="001B6981"/>
    <w:rsid w:val="001E6CB1"/>
    <w:rsid w:val="001F09F6"/>
    <w:rsid w:val="001F6325"/>
    <w:rsid w:val="00203B84"/>
    <w:rsid w:val="002214D8"/>
    <w:rsid w:val="0025082C"/>
    <w:rsid w:val="00255299"/>
    <w:rsid w:val="00285BE5"/>
    <w:rsid w:val="00286668"/>
    <w:rsid w:val="00290296"/>
    <w:rsid w:val="00291CA7"/>
    <w:rsid w:val="002940B6"/>
    <w:rsid w:val="002B00EE"/>
    <w:rsid w:val="002B127D"/>
    <w:rsid w:val="002B3857"/>
    <w:rsid w:val="002C3644"/>
    <w:rsid w:val="002E0094"/>
    <w:rsid w:val="002F2AE4"/>
    <w:rsid w:val="002F6279"/>
    <w:rsid w:val="002F666A"/>
    <w:rsid w:val="0030321A"/>
    <w:rsid w:val="00323864"/>
    <w:rsid w:val="0032394E"/>
    <w:rsid w:val="00326B04"/>
    <w:rsid w:val="00330780"/>
    <w:rsid w:val="00330E82"/>
    <w:rsid w:val="003340A4"/>
    <w:rsid w:val="00357A6B"/>
    <w:rsid w:val="0036410B"/>
    <w:rsid w:val="003656C6"/>
    <w:rsid w:val="00373DFE"/>
    <w:rsid w:val="0039202C"/>
    <w:rsid w:val="00393505"/>
    <w:rsid w:val="003C5EB9"/>
    <w:rsid w:val="003C65A7"/>
    <w:rsid w:val="003E5783"/>
    <w:rsid w:val="003E7472"/>
    <w:rsid w:val="003F0524"/>
    <w:rsid w:val="003F4C2F"/>
    <w:rsid w:val="004108D0"/>
    <w:rsid w:val="00410B8C"/>
    <w:rsid w:val="00412ED6"/>
    <w:rsid w:val="004142D5"/>
    <w:rsid w:val="00425727"/>
    <w:rsid w:val="0042779F"/>
    <w:rsid w:val="00427DCC"/>
    <w:rsid w:val="004352A9"/>
    <w:rsid w:val="00440349"/>
    <w:rsid w:val="00444EDE"/>
    <w:rsid w:val="00464085"/>
    <w:rsid w:val="004652D9"/>
    <w:rsid w:val="00465E99"/>
    <w:rsid w:val="004A7426"/>
    <w:rsid w:val="004B2F2C"/>
    <w:rsid w:val="004C49C6"/>
    <w:rsid w:val="004D4A72"/>
    <w:rsid w:val="004E092B"/>
    <w:rsid w:val="004E6B1F"/>
    <w:rsid w:val="004E77FB"/>
    <w:rsid w:val="004F3FE9"/>
    <w:rsid w:val="00512CDB"/>
    <w:rsid w:val="00514993"/>
    <w:rsid w:val="00534337"/>
    <w:rsid w:val="0053581A"/>
    <w:rsid w:val="00535845"/>
    <w:rsid w:val="005379B6"/>
    <w:rsid w:val="005438AB"/>
    <w:rsid w:val="0054733E"/>
    <w:rsid w:val="0055349C"/>
    <w:rsid w:val="005614C5"/>
    <w:rsid w:val="005C4019"/>
    <w:rsid w:val="005C75DE"/>
    <w:rsid w:val="005D7D14"/>
    <w:rsid w:val="006231E1"/>
    <w:rsid w:val="00627360"/>
    <w:rsid w:val="00627D1A"/>
    <w:rsid w:val="0063495E"/>
    <w:rsid w:val="00634C63"/>
    <w:rsid w:val="00656CFF"/>
    <w:rsid w:val="006711A8"/>
    <w:rsid w:val="00674139"/>
    <w:rsid w:val="00681BC5"/>
    <w:rsid w:val="00691836"/>
    <w:rsid w:val="0069357B"/>
    <w:rsid w:val="00695901"/>
    <w:rsid w:val="00697B7C"/>
    <w:rsid w:val="006B7539"/>
    <w:rsid w:val="006D2E40"/>
    <w:rsid w:val="006E2487"/>
    <w:rsid w:val="006E4EE3"/>
    <w:rsid w:val="006E66EC"/>
    <w:rsid w:val="006F2CC1"/>
    <w:rsid w:val="0070415B"/>
    <w:rsid w:val="00711BBE"/>
    <w:rsid w:val="00717A6D"/>
    <w:rsid w:val="00724703"/>
    <w:rsid w:val="0072484E"/>
    <w:rsid w:val="00727260"/>
    <w:rsid w:val="00735E9D"/>
    <w:rsid w:val="00741ABD"/>
    <w:rsid w:val="00746FC8"/>
    <w:rsid w:val="007578BE"/>
    <w:rsid w:val="0079567A"/>
    <w:rsid w:val="00797AB4"/>
    <w:rsid w:val="007A0956"/>
    <w:rsid w:val="007C1352"/>
    <w:rsid w:val="007D00B8"/>
    <w:rsid w:val="007D286A"/>
    <w:rsid w:val="00827CE1"/>
    <w:rsid w:val="0083080F"/>
    <w:rsid w:val="008371DC"/>
    <w:rsid w:val="008651ED"/>
    <w:rsid w:val="00875A59"/>
    <w:rsid w:val="00876C7C"/>
    <w:rsid w:val="0089558E"/>
    <w:rsid w:val="008A23F3"/>
    <w:rsid w:val="008B5BD2"/>
    <w:rsid w:val="008D17A5"/>
    <w:rsid w:val="008E35DF"/>
    <w:rsid w:val="008F7A18"/>
    <w:rsid w:val="00913D77"/>
    <w:rsid w:val="009167A0"/>
    <w:rsid w:val="009200A2"/>
    <w:rsid w:val="009329FB"/>
    <w:rsid w:val="00945F33"/>
    <w:rsid w:val="00950369"/>
    <w:rsid w:val="0096548F"/>
    <w:rsid w:val="009932CA"/>
    <w:rsid w:val="009A7654"/>
    <w:rsid w:val="009C02DA"/>
    <w:rsid w:val="009E1AC6"/>
    <w:rsid w:val="009E3B35"/>
    <w:rsid w:val="009E63EA"/>
    <w:rsid w:val="009F050F"/>
    <w:rsid w:val="009F2409"/>
    <w:rsid w:val="00A004C8"/>
    <w:rsid w:val="00A31E9B"/>
    <w:rsid w:val="00A333D5"/>
    <w:rsid w:val="00A333DC"/>
    <w:rsid w:val="00A53D31"/>
    <w:rsid w:val="00A73F8A"/>
    <w:rsid w:val="00A76032"/>
    <w:rsid w:val="00A8099D"/>
    <w:rsid w:val="00A81D62"/>
    <w:rsid w:val="00A84922"/>
    <w:rsid w:val="00A87314"/>
    <w:rsid w:val="00AA5C64"/>
    <w:rsid w:val="00AD54E0"/>
    <w:rsid w:val="00B00632"/>
    <w:rsid w:val="00B10888"/>
    <w:rsid w:val="00B14C29"/>
    <w:rsid w:val="00B170E8"/>
    <w:rsid w:val="00B3769E"/>
    <w:rsid w:val="00B63531"/>
    <w:rsid w:val="00B7008A"/>
    <w:rsid w:val="00B717B3"/>
    <w:rsid w:val="00BA3B8E"/>
    <w:rsid w:val="00BE7865"/>
    <w:rsid w:val="00BF091C"/>
    <w:rsid w:val="00C01B5D"/>
    <w:rsid w:val="00C258E4"/>
    <w:rsid w:val="00C52138"/>
    <w:rsid w:val="00C615F1"/>
    <w:rsid w:val="00C9060E"/>
    <w:rsid w:val="00C96371"/>
    <w:rsid w:val="00CA2FDC"/>
    <w:rsid w:val="00CA3BBA"/>
    <w:rsid w:val="00CC0602"/>
    <w:rsid w:val="00CC39A6"/>
    <w:rsid w:val="00CC71C5"/>
    <w:rsid w:val="00CD6850"/>
    <w:rsid w:val="00CF6193"/>
    <w:rsid w:val="00D046E9"/>
    <w:rsid w:val="00D04785"/>
    <w:rsid w:val="00D32C7D"/>
    <w:rsid w:val="00D34588"/>
    <w:rsid w:val="00D366FF"/>
    <w:rsid w:val="00D42FD2"/>
    <w:rsid w:val="00D54C2F"/>
    <w:rsid w:val="00D64953"/>
    <w:rsid w:val="00D80C3F"/>
    <w:rsid w:val="00D87572"/>
    <w:rsid w:val="00D87A00"/>
    <w:rsid w:val="00DA6B19"/>
    <w:rsid w:val="00DC5F44"/>
    <w:rsid w:val="00DD4A02"/>
    <w:rsid w:val="00DE4C7A"/>
    <w:rsid w:val="00DF2DBC"/>
    <w:rsid w:val="00DF326F"/>
    <w:rsid w:val="00DF6036"/>
    <w:rsid w:val="00DF6BC3"/>
    <w:rsid w:val="00E21F6A"/>
    <w:rsid w:val="00E30B22"/>
    <w:rsid w:val="00E3798A"/>
    <w:rsid w:val="00E4145F"/>
    <w:rsid w:val="00E460F3"/>
    <w:rsid w:val="00E50177"/>
    <w:rsid w:val="00E5027B"/>
    <w:rsid w:val="00E5626A"/>
    <w:rsid w:val="00E772E5"/>
    <w:rsid w:val="00E77E64"/>
    <w:rsid w:val="00E82585"/>
    <w:rsid w:val="00E846B1"/>
    <w:rsid w:val="00EA0ABD"/>
    <w:rsid w:val="00EA46E7"/>
    <w:rsid w:val="00EB3C2A"/>
    <w:rsid w:val="00ED3AB8"/>
    <w:rsid w:val="00EE6353"/>
    <w:rsid w:val="00EF1962"/>
    <w:rsid w:val="00EF226B"/>
    <w:rsid w:val="00F00937"/>
    <w:rsid w:val="00F22399"/>
    <w:rsid w:val="00F315C9"/>
    <w:rsid w:val="00F32323"/>
    <w:rsid w:val="00F378BD"/>
    <w:rsid w:val="00F42E31"/>
    <w:rsid w:val="00F51E5E"/>
    <w:rsid w:val="00F5601C"/>
    <w:rsid w:val="00F64B32"/>
    <w:rsid w:val="00F70C4B"/>
    <w:rsid w:val="00F729C3"/>
    <w:rsid w:val="00F7442B"/>
    <w:rsid w:val="00F808C0"/>
    <w:rsid w:val="00F83712"/>
    <w:rsid w:val="00F85CA3"/>
    <w:rsid w:val="00FA672D"/>
    <w:rsid w:val="00FC03A2"/>
    <w:rsid w:val="00FC5DD1"/>
    <w:rsid w:val="00FD0D2C"/>
    <w:rsid w:val="00FD123D"/>
    <w:rsid w:val="00FD44E8"/>
    <w:rsid w:val="00FD7200"/>
    <w:rsid w:val="00FE5F30"/>
    <w:rsid w:val="00FE6ABD"/>
    <w:rsid w:val="00FF661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FE5F30"/>
    <w:pPr>
      <w:pBdr>
        <w:top w:val="double" w:sz="6" w:space="1" w:color="auto"/>
      </w:pBdr>
      <w:spacing w:line="240" w:lineRule="auto"/>
      <w:ind w:firstLine="0"/>
      <w:outlineLvl w:val="1"/>
    </w:p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F7442B"/>
    <w:pPr>
      <w:spacing w:after="101" w:line="216" w:lineRule="atLeast"/>
      <w:ind w:firstLine="288"/>
      <w:jc w:val="both"/>
    </w:pPr>
    <w:rPr>
      <w:rFonts w:ascii="Arial" w:hAnsi="Arial" w:cs="Arial"/>
      <w:sz w:val="18"/>
      <w:szCs w:val="20"/>
      <w:lang w:val="es-ES_tradnl" w:eastAsia="es-MX"/>
    </w:rPr>
  </w:style>
  <w:style w:type="character" w:customStyle="1" w:styleId="PiedepginaCar">
    <w:name w:val="Pie de página Car"/>
    <w:link w:val="Piedepgina"/>
    <w:uiPriority w:val="99"/>
    <w:rsid w:val="00F7442B"/>
    <w:rPr>
      <w:sz w:val="24"/>
      <w:szCs w:val="24"/>
      <w:lang w:eastAsia="es-ES"/>
    </w:rPr>
  </w:style>
  <w:style w:type="paragraph" w:styleId="Textodeglobo">
    <w:name w:val="Balloon Text"/>
    <w:basedOn w:val="Normal"/>
    <w:link w:val="TextodegloboCar"/>
    <w:rsid w:val="0096548F"/>
    <w:rPr>
      <w:rFonts w:ascii="Tahoma" w:hAnsi="Tahoma" w:cs="Tahoma"/>
      <w:sz w:val="16"/>
      <w:szCs w:val="16"/>
    </w:rPr>
  </w:style>
  <w:style w:type="character" w:customStyle="1" w:styleId="TextodegloboCar">
    <w:name w:val="Texto de globo Car"/>
    <w:link w:val="Textodeglobo"/>
    <w:rsid w:val="0096548F"/>
    <w:rPr>
      <w:rFonts w:ascii="Tahoma" w:hAnsi="Tahoma" w:cs="Tahoma"/>
      <w:sz w:val="16"/>
      <w:szCs w:val="16"/>
      <w:lang w:eastAsia="es-ES"/>
    </w:rPr>
  </w:style>
  <w:style w:type="paragraph" w:customStyle="1" w:styleId="Sumario">
    <w:name w:val="Sumario"/>
    <w:basedOn w:val="Normal"/>
    <w:rsid w:val="00DF2DBC"/>
    <w:pPr>
      <w:tabs>
        <w:tab w:val="right" w:leader="dot" w:pos="8107"/>
        <w:tab w:val="right" w:pos="8640"/>
      </w:tabs>
      <w:spacing w:line="260" w:lineRule="exact"/>
      <w:ind w:left="274" w:right="749"/>
      <w:jc w:val="both"/>
    </w:pPr>
    <w:rPr>
      <w:rFonts w:ascii="Arial" w:hAnsi="Arial"/>
      <w:sz w:val="18"/>
      <w:szCs w:val="18"/>
      <w:lang w:val="es-ES"/>
    </w:rPr>
  </w:style>
  <w:style w:type="paragraph" w:customStyle="1" w:styleId="Secreta">
    <w:name w:val="Secreta"/>
    <w:basedOn w:val="Normal"/>
    <w:autoRedefine/>
    <w:rsid w:val="00DF2DB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garciav\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2</TotalTime>
  <Pages>5</Pages>
  <Words>2400</Words>
  <Characters>13200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3</cp:revision>
  <cp:lastPrinted>2015-12-29T20:43:00Z</cp:lastPrinted>
  <dcterms:created xsi:type="dcterms:W3CDTF">2005-12-01T06:40:00Z</dcterms:created>
  <dcterms:modified xsi:type="dcterms:W3CDTF">2005-12-01T06:42:00Z</dcterms:modified>
</cp:coreProperties>
</file>