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8377D9" w:rsidRPr="0005315B" w:rsidRDefault="008377D9" w:rsidP="008377D9">
      <w:pPr>
        <w:pStyle w:val="Titulo1"/>
        <w:rPr>
          <w:rFonts w:cs="Times New Roman"/>
          <w:caps/>
        </w:rPr>
      </w:pPr>
      <w:r w:rsidRPr="0005315B">
        <w:rPr>
          <w:rFonts w:cs="Times New Roman"/>
        </w:rPr>
        <w:t>NORMA en materia de consolidación de Estados Financieros y demás información contable.</w:t>
      </w:r>
    </w:p>
    <w:p w:rsidR="008377D9" w:rsidRDefault="008377D9" w:rsidP="008377D9">
      <w:pPr>
        <w:pStyle w:val="Texto"/>
      </w:pPr>
    </w:p>
    <w:p w:rsidR="008377D9" w:rsidRDefault="008377D9" w:rsidP="00DA7A26">
      <w:pPr>
        <w:pStyle w:val="Texto"/>
        <w:spacing w:line="228" w:lineRule="exact"/>
      </w:pPr>
      <w:r>
        <w:t>El Consejo Nacional de Armonización Contable con fundamento en los artículos 6, 7 y 9 de la Ley General de Contabilidad Gubernamental, aprobó la siguiente:</w:t>
      </w:r>
    </w:p>
    <w:p w:rsidR="008377D9" w:rsidRPr="00F00313" w:rsidRDefault="008377D9" w:rsidP="00DA7A26">
      <w:pPr>
        <w:pStyle w:val="ANOTACION"/>
        <w:spacing w:line="228" w:lineRule="exact"/>
        <w:rPr>
          <w:caps/>
        </w:rPr>
      </w:pPr>
      <w:r w:rsidRPr="00F00313">
        <w:t>Norma en materia de consolidación de Estados Financieros y demás información contable</w:t>
      </w:r>
    </w:p>
    <w:p w:rsidR="008377D9" w:rsidRPr="00145282" w:rsidRDefault="008377D9" w:rsidP="00DA7A26">
      <w:pPr>
        <w:pStyle w:val="Texto"/>
        <w:spacing w:line="228" w:lineRule="exact"/>
        <w:rPr>
          <w:b/>
        </w:rPr>
      </w:pPr>
      <w:r w:rsidRPr="00145282">
        <w:rPr>
          <w:b/>
        </w:rPr>
        <w:t>Objeto</w:t>
      </w:r>
    </w:p>
    <w:p w:rsidR="008377D9" w:rsidRDefault="008377D9" w:rsidP="00DA7A26">
      <w:pPr>
        <w:pStyle w:val="Texto"/>
        <w:spacing w:line="228" w:lineRule="exact"/>
      </w:pPr>
      <w:r>
        <w:t>El presente documento tiene por objeto establecer las normas en materia de consolidación de estados financieros y demás información contable de los entes públicos.</w:t>
      </w:r>
    </w:p>
    <w:p w:rsidR="008377D9" w:rsidRDefault="008377D9" w:rsidP="00DA7A26">
      <w:pPr>
        <w:pStyle w:val="Texto"/>
        <w:spacing w:line="228" w:lineRule="exact"/>
        <w:rPr>
          <w:b/>
        </w:rPr>
      </w:pPr>
      <w:r>
        <w:rPr>
          <w:b/>
        </w:rPr>
        <w:t>Ámbito de aplicación</w:t>
      </w:r>
    </w:p>
    <w:p w:rsidR="008377D9" w:rsidRDefault="008377D9" w:rsidP="00DA7A26">
      <w:pPr>
        <w:pStyle w:val="Texto"/>
        <w:spacing w:line="228" w:lineRule="exact"/>
      </w:pPr>
      <w:r>
        <w:t>La presente Norma es de observancia obligatoria para los entes públicos: poderes Ejecutivo, Legislativo y Judicial de la Federación y de las entidades federativas; órganos autónomos de la Federación y entidades federativas; ayuntamientos de los municipios; y las entidades de la administración pública paraestatal, ya sean federales, estatales o municipales.</w:t>
      </w:r>
    </w:p>
    <w:p w:rsidR="008377D9" w:rsidRDefault="008377D9" w:rsidP="00DA7A26">
      <w:pPr>
        <w:pStyle w:val="Texto"/>
        <w:spacing w:line="228" w:lineRule="exact"/>
        <w:rPr>
          <w:b/>
        </w:rPr>
      </w:pPr>
      <w:r>
        <w:rPr>
          <w:b/>
        </w:rPr>
        <w:t>Objetivo de la consolidación</w:t>
      </w:r>
    </w:p>
    <w:p w:rsidR="008377D9" w:rsidRDefault="008377D9" w:rsidP="00DA7A26">
      <w:pPr>
        <w:pStyle w:val="Texto"/>
        <w:spacing w:line="228" w:lineRule="exact"/>
      </w:pPr>
      <w:r>
        <w:t>La consolidación es el método para presentar la información financiera de varios entes públicos como si fuera un sector institucional. Este método consiste en la eliminación de las transacciones y/o saldos entre las unidades institucionales a consolidar, lo que permite conocer el cambio en el patrimonio, la posición financiera y/o las actividades de un sector institucional con el resto de la economía.</w:t>
      </w:r>
    </w:p>
    <w:p w:rsidR="008377D9" w:rsidRDefault="008377D9" w:rsidP="00DA7A26">
      <w:pPr>
        <w:pStyle w:val="Texto"/>
        <w:spacing w:line="228" w:lineRule="exact"/>
      </w:pPr>
      <w:r>
        <w:t>Para efectos de la formulación de los estados financieros que se consolidan, los entes públicos se deben agrupar de acuerdo a lo dispuesto en la clasificación administrativa y con ello reflejar información global del sector al que pertenecen.</w:t>
      </w:r>
    </w:p>
    <w:p w:rsidR="008377D9" w:rsidRDefault="008377D9" w:rsidP="00DA7A26">
      <w:pPr>
        <w:pStyle w:val="Texto"/>
        <w:spacing w:line="228" w:lineRule="exact"/>
        <w:rPr>
          <w:b/>
        </w:rPr>
      </w:pPr>
      <w:r>
        <w:rPr>
          <w:b/>
        </w:rPr>
        <w:t>Estados financieros a consolidar</w:t>
      </w:r>
    </w:p>
    <w:p w:rsidR="008377D9" w:rsidRDefault="008377D9" w:rsidP="00DA7A26">
      <w:pPr>
        <w:pStyle w:val="Texto"/>
        <w:spacing w:line="228" w:lineRule="exact"/>
        <w:rPr>
          <w:szCs w:val="18"/>
        </w:rPr>
      </w:pPr>
      <w:r>
        <w:rPr>
          <w:szCs w:val="18"/>
        </w:rPr>
        <w:t>1.</w:t>
      </w:r>
      <w:r>
        <w:rPr>
          <w:szCs w:val="18"/>
        </w:rPr>
        <w:tab/>
        <w:t>Estado de situación financiera;</w:t>
      </w:r>
    </w:p>
    <w:p w:rsidR="008377D9" w:rsidRDefault="008377D9" w:rsidP="00DA7A26">
      <w:pPr>
        <w:pStyle w:val="Texto"/>
        <w:spacing w:line="228" w:lineRule="exact"/>
        <w:rPr>
          <w:szCs w:val="18"/>
        </w:rPr>
      </w:pPr>
      <w:r>
        <w:rPr>
          <w:szCs w:val="18"/>
        </w:rPr>
        <w:t>2.</w:t>
      </w:r>
      <w:r>
        <w:rPr>
          <w:szCs w:val="18"/>
        </w:rPr>
        <w:tab/>
        <w:t>Estado de actividades;</w:t>
      </w:r>
    </w:p>
    <w:p w:rsidR="008377D9" w:rsidRDefault="008377D9" w:rsidP="00DA7A26">
      <w:pPr>
        <w:pStyle w:val="Texto"/>
        <w:spacing w:line="228" w:lineRule="exact"/>
        <w:rPr>
          <w:szCs w:val="18"/>
        </w:rPr>
      </w:pPr>
      <w:r>
        <w:rPr>
          <w:szCs w:val="18"/>
        </w:rPr>
        <w:t>3.</w:t>
      </w:r>
      <w:r>
        <w:rPr>
          <w:szCs w:val="18"/>
        </w:rPr>
        <w:tab/>
        <w:t>Estado de variación de la hacienda pública;</w:t>
      </w:r>
    </w:p>
    <w:p w:rsidR="008377D9" w:rsidRDefault="008377D9" w:rsidP="00DA7A26">
      <w:pPr>
        <w:pStyle w:val="Texto"/>
        <w:spacing w:line="228" w:lineRule="exact"/>
        <w:rPr>
          <w:szCs w:val="18"/>
        </w:rPr>
      </w:pPr>
      <w:r>
        <w:rPr>
          <w:szCs w:val="18"/>
        </w:rPr>
        <w:t>4.</w:t>
      </w:r>
      <w:r>
        <w:rPr>
          <w:szCs w:val="18"/>
        </w:rPr>
        <w:tab/>
        <w:t>Estado de cambios en la situación financiera, y</w:t>
      </w:r>
    </w:p>
    <w:p w:rsidR="008377D9" w:rsidRDefault="008377D9" w:rsidP="00DA7A26">
      <w:pPr>
        <w:pStyle w:val="Texto"/>
        <w:spacing w:line="228" w:lineRule="exact"/>
        <w:rPr>
          <w:szCs w:val="18"/>
        </w:rPr>
      </w:pPr>
      <w:r>
        <w:rPr>
          <w:szCs w:val="18"/>
        </w:rPr>
        <w:t>5.</w:t>
      </w:r>
      <w:r>
        <w:rPr>
          <w:szCs w:val="18"/>
        </w:rPr>
        <w:tab/>
        <w:t>Estado de flujos de efectivo.</w:t>
      </w:r>
    </w:p>
    <w:p w:rsidR="008377D9" w:rsidRDefault="008377D9" w:rsidP="00DA7A26">
      <w:pPr>
        <w:pStyle w:val="Texto"/>
        <w:spacing w:line="228" w:lineRule="exact"/>
      </w:pPr>
      <w:r>
        <w:t>Tanto el Estado de variación de la hacienda pública como el Estado de cambios en la situación financiera, se obtienen de la información contenida en el Estado de situación financiera.</w:t>
      </w:r>
    </w:p>
    <w:p w:rsidR="008377D9" w:rsidRDefault="008377D9" w:rsidP="00DA7A26">
      <w:pPr>
        <w:pStyle w:val="Texto"/>
        <w:spacing w:line="228" w:lineRule="exact"/>
        <w:rPr>
          <w:b/>
        </w:rPr>
      </w:pPr>
      <w:r>
        <w:rPr>
          <w:b/>
        </w:rPr>
        <w:t>Consolidación a presentarse</w:t>
      </w:r>
    </w:p>
    <w:p w:rsidR="008377D9" w:rsidRDefault="008377D9" w:rsidP="00DA7A26">
      <w:pPr>
        <w:pStyle w:val="Texto"/>
        <w:spacing w:line="228" w:lineRule="exact"/>
      </w:pPr>
      <w:r>
        <w:t>Para efecto de la presentación de los estados financieros y demás información contable consolidada, se deberá atender a la Clasificación Administrativa emitida por el CONAC.</w:t>
      </w:r>
    </w:p>
    <w:p w:rsidR="008377D9" w:rsidRDefault="008377D9" w:rsidP="00DA7A26">
      <w:pPr>
        <w:pStyle w:val="ROMANOS"/>
        <w:spacing w:line="228" w:lineRule="exact"/>
      </w:pPr>
      <w:r>
        <w:t>A.</w:t>
      </w:r>
      <w:r>
        <w:tab/>
        <w:t>Para el Gobierno Federal se debe consolidar los Poderes Ejecutivo, Legislativo y Judicial, y los Órganos Autónomos de la Federación.</w:t>
      </w:r>
    </w:p>
    <w:p w:rsidR="008377D9" w:rsidRDefault="008377D9" w:rsidP="00DA7A26">
      <w:pPr>
        <w:pStyle w:val="ROMANOS"/>
        <w:spacing w:line="228" w:lineRule="exact"/>
      </w:pPr>
      <w:r>
        <w:t>B.</w:t>
      </w:r>
      <w:r>
        <w:tab/>
        <w:t>Para las Entidades Federativas se debe consolidar los Poderes Ejecutivo, Legislativo y Judicial, y los Órganos Autónomos de la Entidad Federativa.</w:t>
      </w:r>
    </w:p>
    <w:p w:rsidR="008377D9" w:rsidRDefault="008377D9" w:rsidP="00DA7A26">
      <w:pPr>
        <w:pStyle w:val="ROMANOS"/>
        <w:spacing w:line="228" w:lineRule="exact"/>
      </w:pPr>
      <w:r>
        <w:t>C.</w:t>
      </w:r>
      <w:r>
        <w:tab/>
        <w:t>Para los Ayuntamientos de los Municipios se debe consolidar la información de las dependencias y organismos desconcentrados; para estos efectos se consideran incluidos al Presidente Municipal, Regidores y Síndicos.</w:t>
      </w:r>
    </w:p>
    <w:p w:rsidR="008377D9" w:rsidRDefault="008377D9" w:rsidP="00DA7A26">
      <w:pPr>
        <w:pStyle w:val="Texto"/>
        <w:spacing w:line="228" w:lineRule="exact"/>
      </w:pPr>
      <w:r>
        <w:t>En el apartado del Sector Paraestatal de la Federación, de las Entidades Federativas y de los ayuntamientos de los Municipios se deben presentar las consolidaciones siguientes:</w:t>
      </w:r>
    </w:p>
    <w:p w:rsidR="008377D9" w:rsidRDefault="008377D9" w:rsidP="00DA7A26">
      <w:pPr>
        <w:pStyle w:val="ROMANOS"/>
        <w:spacing w:line="228" w:lineRule="exact"/>
      </w:pPr>
      <w:r>
        <w:t>1.</w:t>
      </w:r>
      <w:r>
        <w:tab/>
        <w:t>Consolidación de entidades paraestatales y fideicomisos no empresariales y no financieros;</w:t>
      </w:r>
    </w:p>
    <w:p w:rsidR="008377D9" w:rsidRDefault="008377D9" w:rsidP="00DA7A26">
      <w:pPr>
        <w:pStyle w:val="ROMANOS"/>
        <w:spacing w:line="228" w:lineRule="exact"/>
      </w:pPr>
      <w:r>
        <w:t>2.</w:t>
      </w:r>
      <w:r>
        <w:tab/>
        <w:t>Consolidación de instituciones públicas de seguridad social;</w:t>
      </w:r>
    </w:p>
    <w:p w:rsidR="008377D9" w:rsidRDefault="008377D9" w:rsidP="00DA7A26">
      <w:pPr>
        <w:pStyle w:val="ROMANOS"/>
        <w:spacing w:line="228" w:lineRule="exact"/>
      </w:pPr>
      <w:r>
        <w:t>3.</w:t>
      </w:r>
      <w:r>
        <w:tab/>
        <w:t>Consolidación de entidades paraestatales y fideicomisos empresariales no financieras con participación estatal mayoritaria;</w:t>
      </w:r>
    </w:p>
    <w:p w:rsidR="008377D9" w:rsidRDefault="008377D9" w:rsidP="00DA7A26">
      <w:pPr>
        <w:pStyle w:val="ROMANOS"/>
        <w:spacing w:line="228" w:lineRule="exact"/>
      </w:pPr>
      <w:r>
        <w:lastRenderedPageBreak/>
        <w:t>4.</w:t>
      </w:r>
      <w:r>
        <w:tab/>
        <w:t>Consolidación de entidades paraestatales empresariales financieras monetarias con participación estatal mayoritaria;</w:t>
      </w:r>
    </w:p>
    <w:p w:rsidR="008377D9" w:rsidRDefault="008377D9" w:rsidP="00DA7A26">
      <w:pPr>
        <w:pStyle w:val="ROMANOS"/>
        <w:spacing w:line="224" w:lineRule="exact"/>
      </w:pPr>
      <w:r>
        <w:t>5.</w:t>
      </w:r>
      <w:r>
        <w:tab/>
        <w:t>Consolidación de entidades paraestatales empresariales financieras no monetarias con participación estatal mayoritaria, y</w:t>
      </w:r>
    </w:p>
    <w:p w:rsidR="008377D9" w:rsidRDefault="008377D9" w:rsidP="00DA7A26">
      <w:pPr>
        <w:pStyle w:val="ROMANOS"/>
        <w:spacing w:line="224" w:lineRule="exact"/>
      </w:pPr>
      <w:r>
        <w:t>6.</w:t>
      </w:r>
      <w:r>
        <w:tab/>
        <w:t>Consolidación de fideicomisos financieros públicos con participación estatal mayoritaria.</w:t>
      </w:r>
    </w:p>
    <w:p w:rsidR="008377D9" w:rsidRDefault="008377D9" w:rsidP="00DA7A26">
      <w:pPr>
        <w:pStyle w:val="Texto"/>
        <w:spacing w:line="224" w:lineRule="exact"/>
      </w:pPr>
      <w:r>
        <w:t>Atendiendo al Acuerdo por el que se armoniza la estructura de las cuentas públicas, publicado en el Diario Oficial de la Federación el 30 de diciembre de 2013, la consolidación se formulará:</w:t>
      </w:r>
    </w:p>
    <w:p w:rsidR="008377D9" w:rsidRDefault="008377D9" w:rsidP="00DA7A26">
      <w:pPr>
        <w:pStyle w:val="ROMANOS"/>
        <w:spacing w:line="224" w:lineRule="exact"/>
      </w:pPr>
      <w:r>
        <w:t>1.</w:t>
      </w:r>
      <w:r>
        <w:tab/>
        <w:t>Para el Gobierno Federal por la Secretaría de Hacienda y Crédito Público;</w:t>
      </w:r>
    </w:p>
    <w:p w:rsidR="008377D9" w:rsidRDefault="008377D9" w:rsidP="00DA7A26">
      <w:pPr>
        <w:pStyle w:val="ROMANOS"/>
        <w:spacing w:line="224" w:lineRule="exact"/>
      </w:pPr>
      <w:r>
        <w:t>2.</w:t>
      </w:r>
      <w:r>
        <w:tab/>
        <w:t>Para el caso de las Entidades Federativas, por la Secretaría de Finanzas o su equivalente, por lo que los entes públicos de la Entidad Federativa remitirán la información en los términos y por los conductos que la Secretaría de Finanzas o su equivalente les solicite;</w:t>
      </w:r>
    </w:p>
    <w:p w:rsidR="008377D9" w:rsidRDefault="008377D9" w:rsidP="00DA7A26">
      <w:pPr>
        <w:pStyle w:val="ROMANOS"/>
        <w:spacing w:line="224" w:lineRule="exact"/>
      </w:pPr>
      <w:r>
        <w:t>3.</w:t>
      </w:r>
      <w:r>
        <w:tab/>
        <w:t>Para el caso de los Ayuntamientos de los Municipios, por la Tesorería Municipal, Secretaría de Finanzas Municipal o su equivalente, por lo que los entes públicos municipales remitirán la información en los términos y por los conductos que la Tesorería Municipal, la Secretaría de Finanzas o su equivalente les solicite.</w:t>
      </w:r>
    </w:p>
    <w:p w:rsidR="008377D9" w:rsidRDefault="008377D9" w:rsidP="00DA7A26">
      <w:pPr>
        <w:pStyle w:val="Texto"/>
        <w:spacing w:line="224" w:lineRule="exact"/>
        <w:rPr>
          <w:b/>
        </w:rPr>
      </w:pPr>
      <w:r>
        <w:rPr>
          <w:b/>
        </w:rPr>
        <w:t>Transacciones y saldos a consolidar</w:t>
      </w:r>
    </w:p>
    <w:p w:rsidR="008377D9" w:rsidRDefault="008377D9" w:rsidP="00DA7A26">
      <w:pPr>
        <w:pStyle w:val="Texto"/>
        <w:spacing w:line="224" w:lineRule="exact"/>
      </w:pPr>
      <w:r>
        <w:t>Del Estado de Actividades Consolidado, se deben eliminar las transacciones generadas por una relación de Ingreso-Gasto por conceptos de Transferencias, Asignaciones, Subsidios y Otras ayudas.</w:t>
      </w:r>
    </w:p>
    <w:p w:rsidR="008377D9" w:rsidRDefault="008377D9" w:rsidP="00DA7A26">
      <w:pPr>
        <w:pStyle w:val="Texto"/>
        <w:spacing w:line="224" w:lineRule="exact"/>
      </w:pPr>
      <w:r>
        <w:t>Del Estado de Situación Financiera Consolidado, se deben eliminar los saldos derivados de la relación Deudor-Acreedor por concepto de Participaciones y Aportaciones de Capital (del rubro Inversiones Financieras a Largo Plazo) con el rubro de Aportaciones (del grupo Hacienda Pública/Patrimonio Contribuido).</w:t>
      </w:r>
    </w:p>
    <w:p w:rsidR="008377D9" w:rsidRDefault="008377D9" w:rsidP="00DA7A26">
      <w:pPr>
        <w:pStyle w:val="Texto"/>
        <w:spacing w:line="224" w:lineRule="exact"/>
        <w:rPr>
          <w:b/>
        </w:rPr>
      </w:pPr>
      <w:r>
        <w:rPr>
          <w:b/>
        </w:rPr>
        <w:t>Criterios aplicables en la Consolidación</w:t>
      </w:r>
    </w:p>
    <w:p w:rsidR="008377D9" w:rsidRDefault="008377D9" w:rsidP="00DA7A26">
      <w:pPr>
        <w:pStyle w:val="ROMANOS"/>
        <w:spacing w:line="224" w:lineRule="exact"/>
      </w:pPr>
      <w:r>
        <w:rPr>
          <w:rFonts w:ascii="Symbol" w:hAnsi="Symbol"/>
        </w:rPr>
        <w:t></w:t>
      </w:r>
      <w:r>
        <w:rPr>
          <w:rFonts w:ascii="Symbol" w:hAnsi="Symbol"/>
        </w:rPr>
        <w:tab/>
      </w:r>
      <w:r>
        <w:t>Los estados contables a consolidar deberán corresponder al mismo periodo y deberán contener todas las operaciones realizadas entre las fechas de inicio y cierre del periodo a consolidar.</w:t>
      </w:r>
    </w:p>
    <w:p w:rsidR="008377D9" w:rsidRDefault="008377D9" w:rsidP="00DA7A26">
      <w:pPr>
        <w:pStyle w:val="ROMANOS"/>
        <w:spacing w:line="224" w:lineRule="exact"/>
      </w:pPr>
      <w:r>
        <w:rPr>
          <w:rFonts w:ascii="Symbol" w:hAnsi="Symbol"/>
        </w:rPr>
        <w:t></w:t>
      </w:r>
      <w:r>
        <w:rPr>
          <w:rFonts w:ascii="Symbol" w:hAnsi="Symbol"/>
        </w:rPr>
        <w:tab/>
      </w:r>
      <w:r>
        <w:t>En el caso de los saldos de los activos o pasivos a consolidar estos deberán estar expresados (valuados) en los mismos términos.</w:t>
      </w:r>
    </w:p>
    <w:p w:rsidR="008377D9" w:rsidRDefault="008377D9" w:rsidP="00DA7A26">
      <w:pPr>
        <w:pStyle w:val="ROMANOS"/>
        <w:spacing w:line="224" w:lineRule="exact"/>
      </w:pPr>
      <w:r>
        <w:rPr>
          <w:rFonts w:ascii="Symbol" w:hAnsi="Symbol"/>
        </w:rPr>
        <w:t></w:t>
      </w:r>
      <w:r>
        <w:rPr>
          <w:rFonts w:ascii="Symbol" w:hAnsi="Symbol"/>
        </w:rPr>
        <w:tab/>
      </w:r>
      <w:r>
        <w:t>Dado que la consolidación consiste en la eliminación de los registros de los entes públicos a consolidar, es necesario que los entes públicos reconozcan la misma naturaleza de la operación para su registro de manera simétrica.</w:t>
      </w:r>
    </w:p>
    <w:p w:rsidR="008377D9" w:rsidRDefault="008377D9" w:rsidP="00DA7A26">
      <w:pPr>
        <w:pStyle w:val="ROMANOS"/>
        <w:spacing w:line="224" w:lineRule="exact"/>
      </w:pPr>
      <w:r>
        <w:rPr>
          <w:rFonts w:ascii="Symbol" w:hAnsi="Symbol"/>
        </w:rPr>
        <w:t></w:t>
      </w:r>
      <w:r>
        <w:rPr>
          <w:rFonts w:ascii="Symbol" w:hAnsi="Symbol"/>
        </w:rPr>
        <w:tab/>
      </w:r>
      <w:r>
        <w:t>Adicionalmente a la Información Contable a consolidar, deberán presentarse las notas a los Estados Financieros Consolidados, que serán como mínimo las siguientes:</w:t>
      </w:r>
    </w:p>
    <w:p w:rsidR="008377D9" w:rsidRDefault="008377D9" w:rsidP="00DA7A26">
      <w:pPr>
        <w:pStyle w:val="Texto"/>
        <w:spacing w:line="224" w:lineRule="exact"/>
        <w:jc w:val="center"/>
        <w:rPr>
          <w:b/>
          <w:lang w:val="es-MX"/>
        </w:rPr>
      </w:pPr>
      <w:r>
        <w:rPr>
          <w:b/>
          <w:lang w:val="es-MX"/>
        </w:rPr>
        <w:t>Notas de Desglose</w:t>
      </w:r>
    </w:p>
    <w:p w:rsidR="008377D9" w:rsidRDefault="008377D9" w:rsidP="00DA7A26">
      <w:pPr>
        <w:pStyle w:val="Texto"/>
        <w:spacing w:line="224" w:lineRule="exact"/>
      </w:pPr>
      <w:r>
        <w:t>Para cada una de las notas de desglose se recomienda incluir un párrafo introductorio y el siguiente formato de desglose:</w:t>
      </w:r>
    </w:p>
    <w:tbl>
      <w:tblPr>
        <w:tblW w:w="0" w:type="auto"/>
        <w:jc w:val="center"/>
        <w:tblLayout w:type="fixed"/>
        <w:tblLook w:val="0000"/>
      </w:tblPr>
      <w:tblGrid>
        <w:gridCol w:w="2504"/>
        <w:gridCol w:w="1843"/>
        <w:gridCol w:w="1843"/>
      </w:tblGrid>
      <w:tr w:rsidR="008377D9">
        <w:trPr>
          <w:cantSplit/>
          <w:jc w:val="center"/>
        </w:trPr>
        <w:tc>
          <w:tcPr>
            <w:tcW w:w="2504"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jc w:val="center"/>
              <w:rPr>
                <w:b/>
                <w:szCs w:val="18"/>
              </w:rPr>
            </w:pPr>
            <w:r>
              <w:rPr>
                <w:b/>
                <w:szCs w:val="18"/>
              </w:rPr>
              <w:t>Concepto</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jc w:val="center"/>
              <w:rPr>
                <w:b/>
                <w:szCs w:val="18"/>
              </w:rPr>
            </w:pPr>
            <w:r>
              <w:rPr>
                <w:b/>
                <w:szCs w:val="18"/>
              </w:rPr>
              <w:t>20XN</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jc w:val="center"/>
              <w:rPr>
                <w:b/>
                <w:szCs w:val="18"/>
              </w:rPr>
            </w:pPr>
            <w:r>
              <w:rPr>
                <w:b/>
                <w:szCs w:val="18"/>
              </w:rPr>
              <w:t>20XN-1</w:t>
            </w:r>
          </w:p>
        </w:tc>
      </w:tr>
      <w:tr w:rsidR="008377D9">
        <w:trPr>
          <w:cantSplit/>
          <w:trHeight w:val="236"/>
          <w:jc w:val="center"/>
        </w:trPr>
        <w:tc>
          <w:tcPr>
            <w:tcW w:w="2504"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lang w:val="es-MX"/>
              </w:rPr>
            </w:pPr>
            <w:r>
              <w:rPr>
                <w:szCs w:val="18"/>
                <w:lang w:val="es-MX"/>
              </w:rPr>
              <w:t>Poder Ejecutivo</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r>
      <w:tr w:rsidR="008377D9">
        <w:trPr>
          <w:cantSplit/>
          <w:jc w:val="center"/>
        </w:trPr>
        <w:tc>
          <w:tcPr>
            <w:tcW w:w="2504"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lang w:val="es-MX"/>
              </w:rPr>
            </w:pPr>
            <w:r>
              <w:rPr>
                <w:szCs w:val="18"/>
                <w:lang w:val="es-MX"/>
              </w:rPr>
              <w:t>Poder Legislativo</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r>
      <w:tr w:rsidR="008377D9">
        <w:trPr>
          <w:cantSplit/>
          <w:trHeight w:val="56"/>
          <w:jc w:val="center"/>
        </w:trPr>
        <w:tc>
          <w:tcPr>
            <w:tcW w:w="2504"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lang w:val="es-MX"/>
              </w:rPr>
            </w:pPr>
            <w:r>
              <w:rPr>
                <w:szCs w:val="18"/>
                <w:lang w:val="es-MX"/>
              </w:rPr>
              <w:t>Poder Judicial</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r>
      <w:tr w:rsidR="008377D9">
        <w:trPr>
          <w:cantSplit/>
          <w:trHeight w:val="56"/>
          <w:jc w:val="center"/>
        </w:trPr>
        <w:tc>
          <w:tcPr>
            <w:tcW w:w="2504"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lang w:val="es-MX"/>
              </w:rPr>
            </w:pPr>
            <w:r>
              <w:rPr>
                <w:szCs w:val="18"/>
                <w:lang w:val="es-MX"/>
              </w:rPr>
              <w:t>Órganos Autónomos</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r>
      <w:tr w:rsidR="008377D9">
        <w:trPr>
          <w:cantSplit/>
          <w:trHeight w:val="56"/>
          <w:jc w:val="center"/>
        </w:trPr>
        <w:tc>
          <w:tcPr>
            <w:tcW w:w="2504"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jc w:val="right"/>
              <w:rPr>
                <w:szCs w:val="18"/>
                <w:lang w:val="es-MX"/>
              </w:rPr>
            </w:pPr>
            <w:r>
              <w:rPr>
                <w:szCs w:val="18"/>
                <w:lang w:val="es-MX"/>
              </w:rPr>
              <w:t>Suma</w:t>
            </w: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c>
          <w:tcPr>
            <w:tcW w:w="1843" w:type="dxa"/>
            <w:tcBorders>
              <w:top w:val="single" w:sz="6" w:space="0" w:color="auto"/>
              <w:left w:val="single" w:sz="6" w:space="0" w:color="auto"/>
              <w:bottom w:val="single" w:sz="6" w:space="0" w:color="auto"/>
              <w:right w:val="single" w:sz="6" w:space="0" w:color="auto"/>
            </w:tcBorders>
          </w:tcPr>
          <w:p w:rsidR="008377D9" w:rsidRDefault="008377D9" w:rsidP="00DA7A26">
            <w:pPr>
              <w:pStyle w:val="Texto"/>
              <w:spacing w:line="224" w:lineRule="exact"/>
              <w:ind w:firstLine="0"/>
              <w:rPr>
                <w:szCs w:val="18"/>
              </w:rPr>
            </w:pPr>
          </w:p>
        </w:tc>
      </w:tr>
    </w:tbl>
    <w:p w:rsidR="008377D9" w:rsidRDefault="008377D9" w:rsidP="00DA7A26">
      <w:pPr>
        <w:pStyle w:val="Texto"/>
        <w:spacing w:line="224" w:lineRule="exact"/>
        <w:rPr>
          <w:szCs w:val="18"/>
          <w:lang w:val="es-MX"/>
        </w:rPr>
      </w:pPr>
    </w:p>
    <w:p w:rsidR="008377D9" w:rsidRDefault="008377D9" w:rsidP="00DA7A26">
      <w:pPr>
        <w:pStyle w:val="ROMANOS"/>
        <w:spacing w:line="224" w:lineRule="exact"/>
      </w:pPr>
      <w:r>
        <w:t>I.</w:t>
      </w:r>
      <w:r>
        <w:tab/>
        <w:t>Activo.</w:t>
      </w:r>
    </w:p>
    <w:p w:rsidR="008377D9" w:rsidRDefault="008377D9" w:rsidP="00DA7A26">
      <w:pPr>
        <w:pStyle w:val="INCISO"/>
        <w:spacing w:line="224" w:lineRule="exact"/>
      </w:pPr>
      <w:r>
        <w:t>1.</w:t>
      </w:r>
      <w:r>
        <w:tab/>
        <w:t>Efectivo y Equivalentes.</w:t>
      </w:r>
    </w:p>
    <w:p w:rsidR="008377D9" w:rsidRDefault="008377D9" w:rsidP="00DA7A26">
      <w:pPr>
        <w:pStyle w:val="INCISO"/>
        <w:spacing w:line="224" w:lineRule="exact"/>
      </w:pPr>
      <w:r>
        <w:t>2.</w:t>
      </w:r>
      <w:r>
        <w:tab/>
        <w:t>Derechos a recibir Efectivo o Equivalentes.</w:t>
      </w:r>
    </w:p>
    <w:p w:rsidR="008377D9" w:rsidRDefault="008377D9" w:rsidP="00DA7A26">
      <w:pPr>
        <w:pStyle w:val="INCISO"/>
        <w:spacing w:line="224" w:lineRule="exact"/>
      </w:pPr>
      <w:r>
        <w:t>3.</w:t>
      </w:r>
      <w:r>
        <w:tab/>
        <w:t>Inventarios y Almacenes.</w:t>
      </w:r>
    </w:p>
    <w:p w:rsidR="008377D9" w:rsidRDefault="008377D9" w:rsidP="00DA7A26">
      <w:pPr>
        <w:pStyle w:val="INCISO"/>
        <w:spacing w:line="224" w:lineRule="exact"/>
      </w:pPr>
      <w:r>
        <w:t>4.</w:t>
      </w:r>
      <w:r>
        <w:tab/>
        <w:t>Inversiones Financieras.</w:t>
      </w:r>
    </w:p>
    <w:p w:rsidR="008377D9" w:rsidRDefault="008377D9" w:rsidP="00DA7A26">
      <w:pPr>
        <w:pStyle w:val="INCISO"/>
        <w:spacing w:line="224" w:lineRule="exact"/>
      </w:pPr>
      <w:r>
        <w:lastRenderedPageBreak/>
        <w:t>5.</w:t>
      </w:r>
      <w:r>
        <w:tab/>
        <w:t>Bienes Muebles, Inmuebles e Intangibles.</w:t>
      </w:r>
    </w:p>
    <w:p w:rsidR="008377D9" w:rsidRDefault="008377D9" w:rsidP="00DA7A26">
      <w:pPr>
        <w:pStyle w:val="INCISO"/>
        <w:spacing w:line="224" w:lineRule="exact"/>
      </w:pPr>
      <w:r>
        <w:t>6.</w:t>
      </w:r>
      <w:r>
        <w:tab/>
        <w:t>Otros Activos.</w:t>
      </w:r>
    </w:p>
    <w:p w:rsidR="008377D9" w:rsidRDefault="008377D9" w:rsidP="00DA7A26">
      <w:pPr>
        <w:pStyle w:val="ROMANOS"/>
        <w:spacing w:line="270" w:lineRule="exact"/>
      </w:pPr>
      <w:r>
        <w:t>II.</w:t>
      </w:r>
      <w:r>
        <w:tab/>
        <w:t>Pasivo.</w:t>
      </w:r>
    </w:p>
    <w:p w:rsidR="008377D9" w:rsidRDefault="008377D9" w:rsidP="00DA7A26">
      <w:pPr>
        <w:pStyle w:val="ROMANOS"/>
        <w:spacing w:line="270" w:lineRule="exact"/>
      </w:pPr>
      <w:r>
        <w:t>III.</w:t>
      </w:r>
      <w:r>
        <w:tab/>
        <w:t>Notas al Estado de Variación de la Hacienda Pública/Patrimonio.</w:t>
      </w:r>
    </w:p>
    <w:p w:rsidR="008377D9" w:rsidRDefault="008377D9" w:rsidP="00DA7A26">
      <w:pPr>
        <w:pStyle w:val="ROMANOS"/>
        <w:spacing w:line="270" w:lineRule="exact"/>
      </w:pPr>
      <w:r>
        <w:t>IV.</w:t>
      </w:r>
      <w:r>
        <w:tab/>
        <w:t>Notas al Estado de Actividades.</w:t>
      </w:r>
    </w:p>
    <w:p w:rsidR="008377D9" w:rsidRDefault="008377D9" w:rsidP="00DA7A26">
      <w:pPr>
        <w:pStyle w:val="ROMANOS"/>
        <w:spacing w:line="270" w:lineRule="exact"/>
      </w:pPr>
      <w:r>
        <w:t>V.</w:t>
      </w:r>
      <w:r>
        <w:tab/>
        <w:t>Notas al Estado de Flujo de Efectivo.</w:t>
      </w:r>
    </w:p>
    <w:p w:rsidR="008377D9" w:rsidRDefault="008377D9" w:rsidP="00DA7A26">
      <w:pPr>
        <w:pStyle w:val="Texto"/>
        <w:tabs>
          <w:tab w:val="left" w:pos="1080"/>
        </w:tabs>
        <w:spacing w:line="270" w:lineRule="exact"/>
        <w:ind w:left="1080" w:hanging="360"/>
        <w:rPr>
          <w:i/>
          <w:szCs w:val="18"/>
        </w:rPr>
      </w:pPr>
      <w:r>
        <w:rPr>
          <w:i/>
          <w:szCs w:val="18"/>
        </w:rPr>
        <w:t>1.</w:t>
      </w:r>
      <w:r>
        <w:rPr>
          <w:i/>
          <w:szCs w:val="18"/>
        </w:rPr>
        <w:tab/>
        <w:t>Flujo de Efectivo de las Actividades de Gestión.</w:t>
      </w:r>
    </w:p>
    <w:p w:rsidR="008377D9" w:rsidRDefault="008377D9" w:rsidP="00DA7A26">
      <w:pPr>
        <w:pStyle w:val="Texto"/>
        <w:tabs>
          <w:tab w:val="left" w:pos="1080"/>
        </w:tabs>
        <w:spacing w:line="270" w:lineRule="exact"/>
        <w:ind w:left="1080" w:hanging="360"/>
        <w:rPr>
          <w:i/>
          <w:szCs w:val="18"/>
        </w:rPr>
      </w:pPr>
      <w:r>
        <w:rPr>
          <w:i/>
          <w:szCs w:val="18"/>
        </w:rPr>
        <w:t>2.</w:t>
      </w:r>
      <w:r>
        <w:rPr>
          <w:i/>
          <w:szCs w:val="18"/>
        </w:rPr>
        <w:tab/>
        <w:t>Flujo de Efectivo de las Actividades de Inversión.</w:t>
      </w:r>
    </w:p>
    <w:p w:rsidR="008377D9" w:rsidRDefault="008377D9" w:rsidP="00DA7A26">
      <w:pPr>
        <w:pStyle w:val="Texto"/>
        <w:tabs>
          <w:tab w:val="left" w:pos="1080"/>
        </w:tabs>
        <w:spacing w:line="270" w:lineRule="exact"/>
        <w:ind w:left="1080" w:hanging="360"/>
        <w:rPr>
          <w:i/>
          <w:szCs w:val="18"/>
        </w:rPr>
      </w:pPr>
      <w:r>
        <w:rPr>
          <w:i/>
          <w:szCs w:val="18"/>
        </w:rPr>
        <w:t>3.</w:t>
      </w:r>
      <w:r>
        <w:rPr>
          <w:i/>
          <w:szCs w:val="18"/>
        </w:rPr>
        <w:tab/>
        <w:t>Flujo de Efectivo de las Actividades de Financiamiento.</w:t>
      </w:r>
    </w:p>
    <w:p w:rsidR="008377D9" w:rsidRDefault="008377D9" w:rsidP="00DA7A26">
      <w:pPr>
        <w:pStyle w:val="Texto"/>
        <w:spacing w:line="270" w:lineRule="exact"/>
        <w:jc w:val="center"/>
        <w:rPr>
          <w:b/>
          <w:lang w:val="es-MX"/>
        </w:rPr>
      </w:pPr>
      <w:r>
        <w:rPr>
          <w:b/>
          <w:lang w:val="es-MX"/>
        </w:rPr>
        <w:t>Notas de Memoria</w:t>
      </w:r>
    </w:p>
    <w:p w:rsidR="008377D9" w:rsidRDefault="008377D9" w:rsidP="00DA7A26">
      <w:pPr>
        <w:pStyle w:val="Texto"/>
        <w:spacing w:line="270" w:lineRule="exact"/>
      </w:pPr>
      <w:r>
        <w:t>Deberá únicamente hacerse referencia a que se encuentran disponibles en las notas de cada ente público que integran el Gobierno Federal/Entidad Federativa.</w:t>
      </w:r>
    </w:p>
    <w:p w:rsidR="008377D9" w:rsidRDefault="008377D9" w:rsidP="00DA7A26">
      <w:pPr>
        <w:pStyle w:val="Texto"/>
        <w:spacing w:line="270" w:lineRule="exact"/>
        <w:jc w:val="center"/>
        <w:rPr>
          <w:b/>
          <w:lang w:val="es-MX"/>
        </w:rPr>
      </w:pPr>
      <w:r>
        <w:rPr>
          <w:b/>
          <w:lang w:val="es-MX"/>
        </w:rPr>
        <w:t>Notas de Gestión Administrativa</w:t>
      </w:r>
    </w:p>
    <w:p w:rsidR="008377D9" w:rsidRDefault="008377D9" w:rsidP="00DA7A26">
      <w:pPr>
        <w:pStyle w:val="Texto"/>
        <w:spacing w:line="270" w:lineRule="exact"/>
      </w:pPr>
      <w:r>
        <w:t>Deberá únicamente hacerse referencia a que se encuentran disponibles en las notas de cada ente público que integran el Gobierno Federal/Entidad Federativa.</w:t>
      </w:r>
    </w:p>
    <w:p w:rsidR="008377D9" w:rsidRDefault="008377D9" w:rsidP="00DA7A26">
      <w:pPr>
        <w:pStyle w:val="ANOTACION"/>
        <w:spacing w:line="270" w:lineRule="exact"/>
      </w:pPr>
      <w:r>
        <w:t>TRANSITORIOS</w:t>
      </w:r>
    </w:p>
    <w:p w:rsidR="008377D9" w:rsidRDefault="008377D9" w:rsidP="00DA7A26">
      <w:pPr>
        <w:pStyle w:val="Texto"/>
        <w:spacing w:line="270" w:lineRule="exact"/>
        <w:rPr>
          <w:szCs w:val="18"/>
        </w:rPr>
      </w:pPr>
      <w:r>
        <w:rPr>
          <w:b/>
          <w:szCs w:val="18"/>
        </w:rPr>
        <w:t>PRIMERO.-</w:t>
      </w:r>
      <w:r>
        <w:rPr>
          <w:szCs w:val="18"/>
        </w:rPr>
        <w:t xml:space="preserve"> La </w:t>
      </w:r>
      <w:r>
        <w:rPr>
          <w:szCs w:val="18"/>
          <w:lang w:val="es-MX"/>
        </w:rPr>
        <w:t>presente</w:t>
      </w:r>
      <w:r>
        <w:rPr>
          <w:szCs w:val="18"/>
        </w:rPr>
        <w:t xml:space="preserve"> Norma entrará en vigor a partir del día siguiente de su publicación en el Diario Oficial de la Federación.</w:t>
      </w:r>
    </w:p>
    <w:p w:rsidR="008377D9" w:rsidRDefault="008377D9" w:rsidP="00DA7A26">
      <w:pPr>
        <w:pStyle w:val="Texto"/>
        <w:spacing w:line="270" w:lineRule="exact"/>
        <w:rPr>
          <w:szCs w:val="18"/>
        </w:rPr>
      </w:pPr>
      <w:r>
        <w:rPr>
          <w:b/>
          <w:szCs w:val="18"/>
        </w:rPr>
        <w:t xml:space="preserve">SEGUNDO.- </w:t>
      </w:r>
      <w:r>
        <w:rPr>
          <w:szCs w:val="18"/>
        </w:rPr>
        <w:t xml:space="preserve">Las entidades federativas, en cumplimiento de lo dispuesto por el artículo 7, segundo párrafo, de la Ley General de Contabilidad </w:t>
      </w:r>
      <w:r>
        <w:rPr>
          <w:szCs w:val="18"/>
          <w:lang w:val="es-MX"/>
        </w:rPr>
        <w:t>Gubernamental</w:t>
      </w:r>
      <w:r>
        <w:rPr>
          <w:szCs w:val="18"/>
        </w:rPr>
        <w:t xml:space="preserve"> deberán publicar el presente Acuerdo, en sus medios oficiales de difusión escritos y electrónicos, dentro de un plazo de 30 días hábiles siguientes a la publicación del presente en el Diario Oficial de la Federación.</w:t>
      </w:r>
    </w:p>
    <w:p w:rsidR="008377D9" w:rsidRDefault="008377D9" w:rsidP="00DA7A26">
      <w:pPr>
        <w:pStyle w:val="Texto"/>
        <w:spacing w:line="270" w:lineRule="exact"/>
        <w:rPr>
          <w:szCs w:val="18"/>
        </w:rPr>
      </w:pPr>
      <w:r>
        <w:rPr>
          <w:b/>
          <w:szCs w:val="18"/>
        </w:rPr>
        <w:t>TERCERO.-</w:t>
      </w:r>
      <w:r>
        <w:rPr>
          <w:szCs w:val="18"/>
        </w:rPr>
        <w:t xml:space="preserve"> Los gobiernos de las Entidades Federativas y los Ayuntamientos de los Municipios remitirán al Secretario Técnico la información </w:t>
      </w:r>
      <w:r>
        <w:rPr>
          <w:szCs w:val="18"/>
          <w:lang w:val="es-MX"/>
        </w:rPr>
        <w:t>relacionada</w:t>
      </w:r>
      <w:r>
        <w:rPr>
          <w:szCs w:val="18"/>
        </w:rPr>
        <w:t xml:space="preserve"> con los actos que realicen para implementar la presente Norma. Dicha información deberá ser enviada a la dirección electrónica conac_sriotecnico@hacienda.gob.mx, dentro de un plazo de 15 días hábiles contados a partir de la conclusión del plazo fijado en el presente. Los municipios sujetos de la presente norma podrán enviar la información antes referida por correo ordinario, a la atención del Secretario Técnico del CONAC, en el domicilio de Constituyentes 1001, Colonia Belén de las Flores, Delegación Álvaro Obregón, México, D.F., C.P. 01110.</w:t>
      </w:r>
    </w:p>
    <w:p w:rsidR="008377D9" w:rsidRDefault="008377D9" w:rsidP="00DA7A26">
      <w:pPr>
        <w:pStyle w:val="Texto"/>
        <w:spacing w:line="270" w:lineRule="exact"/>
        <w:rPr>
          <w:szCs w:val="18"/>
        </w:rPr>
      </w:pPr>
      <w:r>
        <w:rPr>
          <w:b/>
          <w:szCs w:val="18"/>
        </w:rPr>
        <w:t xml:space="preserve">CUARTO.- </w:t>
      </w:r>
      <w:r>
        <w:rPr>
          <w:szCs w:val="18"/>
        </w:rPr>
        <w:t xml:space="preserve">Para </w:t>
      </w:r>
      <w:r>
        <w:rPr>
          <w:szCs w:val="18"/>
          <w:lang w:val="es-MX"/>
        </w:rPr>
        <w:t>e</w:t>
      </w:r>
      <w:r>
        <w:rPr>
          <w:szCs w:val="18"/>
        </w:rPr>
        <w:t>l caso de los Ayuntamientos de los Municipios y sus entes públicos, que sean sujetos del Sistema Simplificado Básico o del Sistema Simplificado General, será obligatorio el cumplimiento de la presente Norma, cuando el Consejo Nacional de Armonización Contable lo establezca en sus respectivos manuales.</w:t>
      </w:r>
    </w:p>
    <w:p w:rsidR="008377D9" w:rsidRDefault="008377D9" w:rsidP="00DA7A26">
      <w:pPr>
        <w:pStyle w:val="Texto"/>
        <w:spacing w:line="270" w:lineRule="exact"/>
      </w:pPr>
      <w: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Pr>
          <w:b/>
        </w:rPr>
        <w:t>HAGO CONSTAR Y CERTIFICO</w:t>
      </w:r>
      <w:r>
        <w:t xml:space="preserve"> que el documento consistente en 2 fojas útiles, corresponde con el texto de la Norma en materia de consolidación de Estados Financieros y demás información contable, aprobado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8377D9" w:rsidRDefault="008377D9" w:rsidP="00DA7A26">
      <w:pPr>
        <w:pStyle w:val="Texto"/>
        <w:spacing w:line="270" w:lineRule="exact"/>
      </w:pPr>
      <w:r w:rsidRPr="00F00313">
        <w:lastRenderedPageBreak/>
        <w:t>El Secretario Técnico del</w:t>
      </w:r>
      <w:r>
        <w:t xml:space="preserve"> </w:t>
      </w:r>
      <w:r w:rsidRPr="00F00313">
        <w:t>Consejo Nacional de Armonización Contable</w:t>
      </w:r>
      <w:r>
        <w:t xml:space="preserve">, </w:t>
      </w:r>
      <w:r>
        <w:rPr>
          <w:b/>
        </w:rPr>
        <w:t>Juan Manuel Alcocer Gamba</w:t>
      </w:r>
      <w:r>
        <w:t>.- Rúbrica.</w:t>
      </w:r>
    </w:p>
    <w:sectPr w:rsidR="008377D9" w:rsidSect="00EE0451">
      <w:headerReference w:type="even" r:id="rId7"/>
      <w:headerReference w:type="default" r:id="rId8"/>
      <w:footerReference w:type="default" r:id="rId9"/>
      <w:pgSz w:w="12240" w:h="15840" w:code="1"/>
      <w:pgMar w:top="1152" w:right="1699" w:bottom="1296" w:left="1699" w:header="706" w:footer="706"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A0" w:rsidRDefault="002420A0">
      <w:r>
        <w:separator/>
      </w:r>
    </w:p>
  </w:endnote>
  <w:endnote w:type="continuationSeparator" w:id="0">
    <w:p w:rsidR="002420A0" w:rsidRDefault="00242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A0" w:rsidRDefault="002420A0">
      <w:r>
        <w:separator/>
      </w:r>
    </w:p>
  </w:footnote>
  <w:footnote w:type="continuationSeparator" w:id="0">
    <w:p w:rsidR="002420A0" w:rsidRDefault="00242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C579AA" w:rsidP="00E43983">
    <w:pPr>
      <w:pStyle w:val="Fechas"/>
    </w:pPr>
    <w:fldSimple w:instr="PAGE   \* MERGEFORMAT">
      <w:r w:rsidR="00EE0451" w:rsidRPr="00EE0451">
        <w:rPr>
          <w:noProof/>
          <w:lang w:val="es-ES"/>
        </w:rPr>
        <w:t>8</w:t>
      </w:r>
    </w:fldSimple>
    <w:r w:rsidR="00BE42B6">
      <w:t xml:space="preserve">     (Primera Sección)</w:t>
    </w:r>
    <w:r w:rsidR="00BE42B6">
      <w:tab/>
      <w:t>DIARIO OFICIAL</w:t>
    </w:r>
    <w:r w:rsidR="00BE42B6">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EE0451" w:rsidRPr="00EE0451">
        <w:rPr>
          <w:noProof/>
          <w:lang w:val="es-ES"/>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420A0"/>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B5BD2"/>
    <w:rsid w:val="008D17A5"/>
    <w:rsid w:val="008D2443"/>
    <w:rsid w:val="008E35DF"/>
    <w:rsid w:val="008F4A55"/>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71E1"/>
    <w:rsid w:val="00B00632"/>
    <w:rsid w:val="00B14C29"/>
    <w:rsid w:val="00B170E8"/>
    <w:rsid w:val="00B3769E"/>
    <w:rsid w:val="00B41808"/>
    <w:rsid w:val="00B41F2A"/>
    <w:rsid w:val="00B465EB"/>
    <w:rsid w:val="00B63531"/>
    <w:rsid w:val="00B7008A"/>
    <w:rsid w:val="00B717B3"/>
    <w:rsid w:val="00BE42B6"/>
    <w:rsid w:val="00BF091C"/>
    <w:rsid w:val="00C01B5D"/>
    <w:rsid w:val="00C258E4"/>
    <w:rsid w:val="00C461BF"/>
    <w:rsid w:val="00C54322"/>
    <w:rsid w:val="00C579AA"/>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DF7E4C"/>
    <w:rsid w:val="00E027A3"/>
    <w:rsid w:val="00E21F6A"/>
    <w:rsid w:val="00E30B22"/>
    <w:rsid w:val="00E3798A"/>
    <w:rsid w:val="00E43983"/>
    <w:rsid w:val="00E460F3"/>
    <w:rsid w:val="00E50177"/>
    <w:rsid w:val="00E5027B"/>
    <w:rsid w:val="00E5626A"/>
    <w:rsid w:val="00E772E5"/>
    <w:rsid w:val="00E82585"/>
    <w:rsid w:val="00EA0ABD"/>
    <w:rsid w:val="00EA3028"/>
    <w:rsid w:val="00EA46E7"/>
    <w:rsid w:val="00EB3C2A"/>
    <w:rsid w:val="00EB42BF"/>
    <w:rsid w:val="00EC2C40"/>
    <w:rsid w:val="00EC3E4C"/>
    <w:rsid w:val="00ED5E55"/>
    <w:rsid w:val="00EE0451"/>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AA"/>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4</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2014-10-06T15:42:00Z</dcterms:created>
  <dcterms:modified xsi:type="dcterms:W3CDTF">2014-10-06T15:42:00Z</dcterms:modified>
</cp:coreProperties>
</file>