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705572" w:rsidRPr="0005315B" w:rsidRDefault="00705572" w:rsidP="00705572">
      <w:pPr>
        <w:pStyle w:val="Titulo1"/>
        <w:rPr>
          <w:rFonts w:cs="Times New Roman"/>
        </w:rPr>
      </w:pPr>
      <w:r w:rsidRPr="0005315B">
        <w:rPr>
          <w:rFonts w:cs="Times New Roman"/>
        </w:rPr>
        <w:t>LINEAMIENTOS de información pública financiera para el Fondo de Aportaciones para la</w:t>
      </w:r>
      <w:r w:rsidR="0005315B" w:rsidRPr="0005315B">
        <w:rPr>
          <w:rFonts w:cs="Times New Roman"/>
        </w:rPr>
        <w:t xml:space="preserve"> </w:t>
      </w:r>
      <w:r w:rsidRPr="0005315B">
        <w:rPr>
          <w:rFonts w:cs="Times New Roman"/>
        </w:rPr>
        <w:t>Infraestructura Social.</w:t>
      </w:r>
    </w:p>
    <w:p w:rsidR="00705572" w:rsidRDefault="00705572" w:rsidP="00F00313">
      <w:pPr>
        <w:pStyle w:val="Texto"/>
        <w:rPr>
          <w:szCs w:val="18"/>
        </w:rPr>
      </w:pPr>
    </w:p>
    <w:p w:rsidR="00F00313" w:rsidRPr="00F00313" w:rsidRDefault="00F00313" w:rsidP="00DE6424">
      <w:pPr>
        <w:pStyle w:val="Texto"/>
        <w:spacing w:line="220" w:lineRule="exact"/>
        <w:rPr>
          <w:szCs w:val="18"/>
        </w:rPr>
      </w:pPr>
      <w:r w:rsidRPr="00F00313">
        <w:rPr>
          <w:szCs w:val="18"/>
        </w:rPr>
        <w:t>El Consejo Nacional de Armonización Contable con fundamento en los artículos 6, 7 y 9 de la Ley General de Contabilidad Gubernamental, aprobó los siguientes:</w:t>
      </w:r>
    </w:p>
    <w:p w:rsidR="00F00313" w:rsidRPr="00F00313" w:rsidRDefault="00F00313" w:rsidP="00DE6424">
      <w:pPr>
        <w:pStyle w:val="Texto"/>
        <w:spacing w:line="220" w:lineRule="exact"/>
        <w:rPr>
          <w:b/>
          <w:szCs w:val="18"/>
        </w:rPr>
      </w:pPr>
      <w:r w:rsidRPr="00F00313">
        <w:rPr>
          <w:b/>
          <w:szCs w:val="18"/>
        </w:rPr>
        <w:t>Lineamientos de información pública financiera para el Fondo de Aportaciones para la Infraestructura Social</w:t>
      </w:r>
    </w:p>
    <w:p w:rsidR="00F00313" w:rsidRPr="00F00313" w:rsidRDefault="00F00313" w:rsidP="00DE6424">
      <w:pPr>
        <w:pStyle w:val="Texto"/>
        <w:spacing w:line="220" w:lineRule="exact"/>
        <w:rPr>
          <w:b/>
          <w:szCs w:val="18"/>
        </w:rPr>
      </w:pPr>
      <w:r w:rsidRPr="00F00313">
        <w:rPr>
          <w:b/>
          <w:szCs w:val="18"/>
        </w:rPr>
        <w:t>Objeto</w:t>
      </w:r>
    </w:p>
    <w:p w:rsidR="00F00313" w:rsidRPr="00F00313" w:rsidRDefault="00F00313" w:rsidP="00DE6424">
      <w:pPr>
        <w:pStyle w:val="Texto"/>
        <w:spacing w:line="220" w:lineRule="exact"/>
        <w:rPr>
          <w:szCs w:val="18"/>
        </w:rPr>
      </w:pPr>
      <w:r w:rsidRPr="00F00313">
        <w:rPr>
          <w:szCs w:val="18"/>
        </w:rPr>
        <w:t>1. Establecer los lineamientos de información pública financiera para el Fondo de Aportaciones para la Infraestructura Social a que se refieren los incisos a) y c) de la fracción II del apartado B del artículo 33 de</w:t>
      </w:r>
      <w:r w:rsidR="0005315B">
        <w:rPr>
          <w:szCs w:val="18"/>
        </w:rPr>
        <w:t xml:space="preserve"> </w:t>
      </w:r>
      <w:r w:rsidRPr="00F00313">
        <w:rPr>
          <w:szCs w:val="18"/>
        </w:rPr>
        <w:t>la Ley de Coordinación Fiscal.</w:t>
      </w:r>
    </w:p>
    <w:p w:rsidR="00F00313" w:rsidRPr="00F00313" w:rsidRDefault="00F00313" w:rsidP="00DE6424">
      <w:pPr>
        <w:pStyle w:val="Texto"/>
        <w:spacing w:line="220" w:lineRule="exact"/>
        <w:rPr>
          <w:b/>
          <w:szCs w:val="18"/>
        </w:rPr>
      </w:pPr>
      <w:r w:rsidRPr="00F00313">
        <w:rPr>
          <w:b/>
          <w:szCs w:val="18"/>
        </w:rPr>
        <w:t>Ámbito de aplicación</w:t>
      </w:r>
    </w:p>
    <w:p w:rsidR="00F00313" w:rsidRPr="00F00313" w:rsidRDefault="00F00313" w:rsidP="00DE6424">
      <w:pPr>
        <w:pStyle w:val="Texto"/>
        <w:spacing w:line="220" w:lineRule="exact"/>
        <w:rPr>
          <w:szCs w:val="18"/>
        </w:rPr>
      </w:pPr>
      <w:r w:rsidRPr="00F00313">
        <w:rPr>
          <w:szCs w:val="18"/>
        </w:rPr>
        <w:t>2. Las presentes disposiciones serán de observancia obligatoria para las entidades federativas, los municipios y las demarcaciones territoriales del Distrito Federal.</w:t>
      </w:r>
    </w:p>
    <w:p w:rsidR="00F00313" w:rsidRPr="00F00313" w:rsidRDefault="00F00313" w:rsidP="00DE6424">
      <w:pPr>
        <w:pStyle w:val="Texto"/>
        <w:spacing w:line="220" w:lineRule="exact"/>
        <w:rPr>
          <w:b/>
          <w:szCs w:val="18"/>
        </w:rPr>
      </w:pPr>
      <w:r w:rsidRPr="00F00313">
        <w:rPr>
          <w:b/>
          <w:szCs w:val="18"/>
        </w:rPr>
        <w:t>Lineamientos para dar a conocer los montos que reciban, las obras y acciones a realizar, el costo de cada una, su ubicación, metas y beneficiarios</w:t>
      </w:r>
    </w:p>
    <w:p w:rsidR="00F00313" w:rsidRPr="00F00313" w:rsidRDefault="00F00313" w:rsidP="00DE6424">
      <w:pPr>
        <w:pStyle w:val="Texto"/>
        <w:spacing w:line="220" w:lineRule="exact"/>
        <w:rPr>
          <w:szCs w:val="18"/>
        </w:rPr>
      </w:pPr>
      <w:r w:rsidRPr="00F00313">
        <w:rPr>
          <w:szCs w:val="18"/>
        </w:rPr>
        <w:t>3. A fin de dar cumplimiento a lo establecido en el inciso a) de la fracción II del apartado B del artículo 33 de la Ley de Coordinación Fiscal que establece que es obligación de las entidades federativas, los municipios y demarcaciones territoriales del Distrito Federal “Hacer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 se establece el siguiente formato para hacer del conocimiento de los habitantes lo siguiente:</w:t>
      </w:r>
    </w:p>
    <w:p w:rsidR="00F00313" w:rsidRPr="00F00313" w:rsidRDefault="00EA3028" w:rsidP="00705572">
      <w:pPr>
        <w:pStyle w:val="Texto"/>
        <w:spacing w:line="240" w:lineRule="auto"/>
        <w:ind w:firstLine="0"/>
        <w:jc w:val="center"/>
        <w:rPr>
          <w:szCs w:val="18"/>
        </w:rPr>
      </w:pPr>
      <w:r>
        <w:rPr>
          <w:noProof/>
          <w:szCs w:val="18"/>
          <w:lang w:val="es-MX" w:eastAsia="es-MX"/>
        </w:rPr>
        <w:drawing>
          <wp:inline distT="0" distB="0" distL="0" distR="0">
            <wp:extent cx="5610225" cy="20669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610225" cy="2066925"/>
                    </a:xfrm>
                    <a:prstGeom prst="rect">
                      <a:avLst/>
                    </a:prstGeom>
                    <a:noFill/>
                    <a:ln w="9525">
                      <a:noFill/>
                      <a:miter lim="800000"/>
                      <a:headEnd/>
                      <a:tailEnd/>
                    </a:ln>
                  </pic:spPr>
                </pic:pic>
              </a:graphicData>
            </a:graphic>
          </wp:inline>
        </w:drawing>
      </w:r>
    </w:p>
    <w:p w:rsidR="00DE6424" w:rsidRDefault="00DE6424" w:rsidP="00F00313">
      <w:pPr>
        <w:pStyle w:val="Texto"/>
        <w:rPr>
          <w:b/>
          <w:szCs w:val="18"/>
        </w:rPr>
      </w:pPr>
    </w:p>
    <w:p w:rsidR="00F00313" w:rsidRPr="00F00313" w:rsidRDefault="00F00313" w:rsidP="00F00313">
      <w:pPr>
        <w:pStyle w:val="Texto"/>
        <w:rPr>
          <w:b/>
          <w:szCs w:val="18"/>
        </w:rPr>
      </w:pPr>
      <w:r w:rsidRPr="00F00313">
        <w:rPr>
          <w:b/>
          <w:szCs w:val="18"/>
        </w:rPr>
        <w:t>Lineamiento para informar los avances del ejercicio de los recursos trimestralmente y al término de cada ejercicio</w:t>
      </w:r>
    </w:p>
    <w:p w:rsidR="00F00313" w:rsidRPr="00F00313" w:rsidRDefault="00F00313" w:rsidP="00F00313">
      <w:pPr>
        <w:pStyle w:val="Texto"/>
        <w:rPr>
          <w:szCs w:val="18"/>
        </w:rPr>
      </w:pPr>
      <w:r w:rsidRPr="00F00313">
        <w:rPr>
          <w:szCs w:val="18"/>
        </w:rPr>
        <w:t>4. A fin de dar cumplimiento a lo establecido en el inciso c) de la fracción II del apartado B del artículo 33 de la Ley de Coordinación Fiscal que establece que es obligación de las entidades federativas, los municipios y demarcaciones territoriales del Distrito Federal “Informar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 Gubernamental”, se precisa que los avances del ejercicio de los recursos trimestrales y los resultados alcanzados que se deben informar a sus habitantes, son los reportados en el sistema a que hace referencia el artículo 85 de la Ley Federal de Presupuesto y Responsabilidad Hacendaria.</w:t>
      </w:r>
    </w:p>
    <w:p w:rsidR="00F00313" w:rsidRPr="00F00313" w:rsidRDefault="00F00313" w:rsidP="00705572">
      <w:pPr>
        <w:pStyle w:val="ANOTACION"/>
      </w:pPr>
      <w:r w:rsidRPr="00F00313">
        <w:t>TRANSITORIOS</w:t>
      </w:r>
    </w:p>
    <w:p w:rsidR="00F00313" w:rsidRPr="00F00313" w:rsidRDefault="00F00313" w:rsidP="00F00313">
      <w:pPr>
        <w:pStyle w:val="Texto"/>
        <w:rPr>
          <w:szCs w:val="18"/>
        </w:rPr>
      </w:pPr>
      <w:r w:rsidRPr="00F00313">
        <w:rPr>
          <w:b/>
          <w:szCs w:val="18"/>
        </w:rPr>
        <w:lastRenderedPageBreak/>
        <w:t>PRIMERO.-</w:t>
      </w:r>
      <w:r w:rsidRPr="00F00313">
        <w:rPr>
          <w:szCs w:val="18"/>
        </w:rPr>
        <w:t xml:space="preserve"> Los presentes Lineamientos entrarán en vigor a partir del día siguiente de su publicación en el Diario Oficial de la Federación.</w:t>
      </w:r>
    </w:p>
    <w:p w:rsidR="00F00313" w:rsidRPr="00F00313" w:rsidRDefault="00F00313" w:rsidP="00F00313">
      <w:pPr>
        <w:pStyle w:val="Texto"/>
        <w:rPr>
          <w:szCs w:val="18"/>
        </w:rPr>
      </w:pPr>
      <w:r w:rsidRPr="00F00313">
        <w:rPr>
          <w:b/>
          <w:szCs w:val="18"/>
        </w:rPr>
        <w:t xml:space="preserve">SEGUNDO.- </w:t>
      </w:r>
      <w:r w:rsidRPr="00F00313">
        <w:rPr>
          <w:szCs w:val="18"/>
        </w:rPr>
        <w:t>En cumplimiento a lo dispuesto por el artículo 7, segundo párrafo de la Ley General de Contabilidad Gubernamental, los presentes Lineamientos deberán publicarse en los medios oficiales de difusión escritos y electrónicos de las entidades federativas, a más tardar en un plazo de 30 días hábiles siguientes a la publicación del presente en el Diario Oficial de la Federación.</w:t>
      </w:r>
    </w:p>
    <w:p w:rsidR="00F00313" w:rsidRPr="00F00313" w:rsidRDefault="00F00313" w:rsidP="00F00313">
      <w:pPr>
        <w:pStyle w:val="Texto"/>
        <w:rPr>
          <w:szCs w:val="18"/>
        </w:rPr>
      </w:pPr>
      <w:r w:rsidRPr="00F00313">
        <w:rPr>
          <w:b/>
          <w:szCs w:val="18"/>
        </w:rPr>
        <w:t xml:space="preserve">TERCERO.- </w:t>
      </w:r>
      <w:r w:rsidRPr="00F00313">
        <w:rPr>
          <w:szCs w:val="18"/>
        </w:rPr>
        <w:t>Los gobiernos de las entidades federativas y los ayuntamientos de los municipios remitirán al Secretario Técnico la información relacionada con los actos que realicen para implementar los presentes Lineamientos. Dicha información deberá ser enviada a la dirección electrónica conac_sriotecnico@hacienda.gob.mx, dentro de un plazo de 15 días hábiles contados a partir de la conclusión del plazo fijado en el presente. Los municipios sujetos del presente Lineamiento podrán enviar la información antes referida por correo ordinario, a la atención del Secretario Técnico del CONAC, en el domicilio de Constituyentes 1001, Colonia Belén de las Flores, Delegación Álvaro Obregón, México, D.F., C.P. 01110.</w:t>
      </w:r>
    </w:p>
    <w:p w:rsidR="00F00313" w:rsidRPr="00F00313" w:rsidRDefault="00F00313" w:rsidP="00F00313">
      <w:pPr>
        <w:pStyle w:val="Texto"/>
        <w:rPr>
          <w:szCs w:val="18"/>
        </w:rPr>
      </w:pPr>
      <w:r w:rsidRPr="00F00313">
        <w:rPr>
          <w:b/>
          <w:szCs w:val="18"/>
        </w:rPr>
        <w:t>CUARTO.-</w:t>
      </w:r>
      <w:r w:rsidRPr="00F00313">
        <w:rPr>
          <w:szCs w:val="18"/>
        </w:rPr>
        <w:t xml:space="preserve"> Para lo dispuesto en el inciso a) de la fracción II del apartado B del artículo 33 de la Ley de Coordinación Fiscal, en apego al artículo 27 de la Ley General de Contabilidad Gubernamental, los municipios podrán recurrir a otros medios de publicación, distintos al Internet, cuando este servicio no esté disponible, siempre y cuando sean de acceso público.</w:t>
      </w:r>
    </w:p>
    <w:p w:rsidR="00F00313" w:rsidRPr="00F00313" w:rsidRDefault="00F00313" w:rsidP="00F00313">
      <w:pPr>
        <w:pStyle w:val="Texto"/>
        <w:rPr>
          <w:szCs w:val="18"/>
        </w:rPr>
      </w:pPr>
      <w:r w:rsidRPr="00F00313">
        <w:rPr>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1 foja útil, corresponde con el texto de los Lineamientos de información pública financiera para el Fondo de Aportaciones para la Infraestructura Social, aprobado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F00313" w:rsidRDefault="00705572" w:rsidP="00F00313">
      <w:pPr>
        <w:pStyle w:val="Texto"/>
        <w:rPr>
          <w:szCs w:val="18"/>
        </w:rPr>
      </w:pPr>
      <w:r>
        <w:rPr>
          <w:szCs w:val="18"/>
        </w:rPr>
        <w:t xml:space="preserve">El </w:t>
      </w:r>
      <w:r w:rsidRPr="00705572">
        <w:rPr>
          <w:szCs w:val="18"/>
        </w:rPr>
        <w:t>Secretario Técnico del</w:t>
      </w:r>
      <w:r>
        <w:rPr>
          <w:szCs w:val="18"/>
        </w:rPr>
        <w:t xml:space="preserve"> </w:t>
      </w:r>
      <w:r w:rsidRPr="00705572">
        <w:rPr>
          <w:szCs w:val="18"/>
        </w:rPr>
        <w:t>Consejo Nacional de Armonización Contable</w:t>
      </w:r>
      <w:r>
        <w:rPr>
          <w:szCs w:val="18"/>
        </w:rPr>
        <w:t xml:space="preserve">, </w:t>
      </w:r>
      <w:r w:rsidR="00F00313" w:rsidRPr="00F00313">
        <w:rPr>
          <w:b/>
          <w:szCs w:val="18"/>
        </w:rPr>
        <w:t>Juan Manuel Alcocer Gamba</w:t>
      </w:r>
      <w:r>
        <w:rPr>
          <w:szCs w:val="18"/>
        </w:rPr>
        <w:t>.- Rúbrica.</w:t>
      </w:r>
    </w:p>
    <w:sectPr w:rsidR="00F00313" w:rsidSect="00F1427E">
      <w:headerReference w:type="even" r:id="rId8"/>
      <w:headerReference w:type="default" r:id="rId9"/>
      <w:footerReference w:type="default" r:id="rId10"/>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E1" w:rsidRDefault="00E863E1">
      <w:r>
        <w:separator/>
      </w:r>
    </w:p>
  </w:endnote>
  <w:endnote w:type="continuationSeparator" w:id="0">
    <w:p w:rsidR="00E863E1" w:rsidRDefault="00E8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E1" w:rsidRDefault="00E863E1">
      <w:r>
        <w:separator/>
      </w:r>
    </w:p>
  </w:footnote>
  <w:footnote w:type="continuationSeparator" w:id="0">
    <w:p w:rsidR="00E863E1" w:rsidRDefault="00E86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6313EC" w:rsidP="00E43983">
    <w:pPr>
      <w:pStyle w:val="Fechas"/>
    </w:pPr>
    <w:fldSimple w:instr="PAGE   \* MERGEFORMAT">
      <w:r w:rsidR="00B27F81" w:rsidRPr="00B27F81">
        <w:rPr>
          <w:noProof/>
          <w:lang w:val="es-ES"/>
        </w:rPr>
        <w:t>2</w:t>
      </w:r>
    </w:fldSimple>
    <w:r w:rsidR="00BE42B6">
      <w:t xml:space="preserve">     (Primera Sección)</w:t>
    </w:r>
    <w:r w:rsidR="00BE42B6">
      <w:tab/>
      <w:t>DIARIO OFICIAL</w:t>
    </w:r>
    <w:r w:rsidR="00BE42B6">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B27F81" w:rsidRPr="00B27F81">
        <w:rPr>
          <w:noProof/>
          <w:lang w:val="es-ES"/>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95F65"/>
    <w:rsid w:val="005A0268"/>
    <w:rsid w:val="005B7010"/>
    <w:rsid w:val="005C4019"/>
    <w:rsid w:val="005C75DE"/>
    <w:rsid w:val="005D7D14"/>
    <w:rsid w:val="005E5B4E"/>
    <w:rsid w:val="006231E1"/>
    <w:rsid w:val="00627360"/>
    <w:rsid w:val="00627D1A"/>
    <w:rsid w:val="006313EC"/>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4A55"/>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27F81"/>
    <w:rsid w:val="00B3769E"/>
    <w:rsid w:val="00B41808"/>
    <w:rsid w:val="00B41F2A"/>
    <w:rsid w:val="00B465EB"/>
    <w:rsid w:val="00B63531"/>
    <w:rsid w:val="00B64D99"/>
    <w:rsid w:val="00B7008A"/>
    <w:rsid w:val="00B717B3"/>
    <w:rsid w:val="00BE42B6"/>
    <w:rsid w:val="00BF091C"/>
    <w:rsid w:val="00C01B5D"/>
    <w:rsid w:val="00C258E4"/>
    <w:rsid w:val="00C461BF"/>
    <w:rsid w:val="00C54322"/>
    <w:rsid w:val="00C579AA"/>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24AD"/>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DF7E4C"/>
    <w:rsid w:val="00E027A3"/>
    <w:rsid w:val="00E21F6A"/>
    <w:rsid w:val="00E30B22"/>
    <w:rsid w:val="00E3798A"/>
    <w:rsid w:val="00E43983"/>
    <w:rsid w:val="00E460F3"/>
    <w:rsid w:val="00E50177"/>
    <w:rsid w:val="00E5027B"/>
    <w:rsid w:val="00E5626A"/>
    <w:rsid w:val="00E772E5"/>
    <w:rsid w:val="00E82585"/>
    <w:rsid w:val="00E84358"/>
    <w:rsid w:val="00E863E1"/>
    <w:rsid w:val="00EA0ABD"/>
    <w:rsid w:val="00EA3028"/>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B0F9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A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2</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2014-10-06T15:44:00Z</dcterms:created>
  <dcterms:modified xsi:type="dcterms:W3CDTF">2014-10-06T15:44:00Z</dcterms:modified>
</cp:coreProperties>
</file>