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DD2508">
        <w:rPr>
          <w:rFonts w:eastAsia="Times New Roman" w:cstheme="minorHAnsi"/>
          <w:bCs/>
          <w:sz w:val="24"/>
          <w:szCs w:val="24"/>
        </w:rPr>
        <w:t>7</w:t>
      </w:r>
      <w:r w:rsidR="00B367AC">
        <w:rPr>
          <w:rFonts w:eastAsia="Times New Roman" w:cstheme="minorHAnsi"/>
          <w:bCs/>
          <w:sz w:val="24"/>
          <w:szCs w:val="24"/>
        </w:rPr>
        <w:t>,</w:t>
      </w:r>
      <w:r w:rsidR="00E8677D">
        <w:rPr>
          <w:rFonts w:eastAsia="Times New Roman" w:cstheme="minorHAnsi"/>
          <w:bCs/>
          <w:sz w:val="24"/>
          <w:szCs w:val="24"/>
        </w:rPr>
        <w:t>004</w:t>
      </w:r>
      <w:r w:rsidR="003A450F">
        <w:rPr>
          <w:rFonts w:eastAsia="Times New Roman" w:cstheme="minorHAnsi"/>
          <w:bCs/>
          <w:sz w:val="24"/>
          <w:szCs w:val="24"/>
        </w:rPr>
        <w:t>,</w:t>
      </w:r>
      <w:r w:rsidR="00E8677D">
        <w:rPr>
          <w:rFonts w:eastAsia="Times New Roman" w:cstheme="minorHAnsi"/>
          <w:bCs/>
          <w:sz w:val="24"/>
          <w:szCs w:val="24"/>
        </w:rPr>
        <w:t>218</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E8677D" w:rsidP="00066BD1">
            <w:pPr>
              <w:jc w:val="right"/>
              <w:rPr>
                <w:rFonts w:eastAsia="Times New Roman" w:cstheme="minorHAnsi"/>
                <w:sz w:val="24"/>
                <w:szCs w:val="24"/>
              </w:rPr>
            </w:pPr>
            <w:r>
              <w:rPr>
                <w:rFonts w:eastAsia="Times New Roman" w:cstheme="minorHAnsi"/>
                <w:sz w:val="24"/>
                <w:szCs w:val="24"/>
              </w:rPr>
              <w:t>814,572,622</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E8677D" w:rsidP="0050525F">
            <w:pPr>
              <w:jc w:val="right"/>
              <w:rPr>
                <w:rFonts w:eastAsia="Times New Roman" w:cstheme="minorHAnsi"/>
                <w:sz w:val="24"/>
                <w:szCs w:val="24"/>
              </w:rPr>
            </w:pPr>
            <w:r>
              <w:rPr>
                <w:rFonts w:eastAsia="Times New Roman" w:cstheme="minorHAnsi"/>
                <w:sz w:val="24"/>
                <w:szCs w:val="24"/>
              </w:rPr>
              <w:t>425,461,20</w:t>
            </w:r>
            <w:r w:rsidR="0050525F">
              <w:rPr>
                <w:rFonts w:eastAsia="Times New Roman" w:cstheme="minorHAnsi"/>
                <w:sz w:val="24"/>
                <w:szCs w:val="24"/>
              </w:rPr>
              <w:t>6</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E8677D" w:rsidP="0050525F">
            <w:pPr>
              <w:jc w:val="right"/>
              <w:rPr>
                <w:rFonts w:eastAsia="Times New Roman" w:cstheme="minorHAnsi"/>
                <w:sz w:val="24"/>
                <w:szCs w:val="24"/>
              </w:rPr>
            </w:pPr>
            <w:r>
              <w:rPr>
                <w:rFonts w:eastAsia="Times New Roman" w:cstheme="minorHAnsi"/>
                <w:b/>
                <w:bCs/>
                <w:sz w:val="24"/>
                <w:szCs w:val="24"/>
              </w:rPr>
              <w:t>$ 2,730,848,25</w:t>
            </w:r>
            <w:r w:rsidR="0050525F">
              <w:rPr>
                <w:rFonts w:eastAsia="Times New Roman" w:cstheme="minorHAnsi"/>
                <w:b/>
                <w:bCs/>
                <w:sz w:val="24"/>
                <w:szCs w:val="24"/>
              </w:rPr>
              <w:t>7</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066BD1">
        <w:rPr>
          <w:rFonts w:eastAsia="Times New Roman" w:cstheme="minorHAnsi"/>
          <w:bCs/>
          <w:sz w:val="24"/>
          <w:szCs w:val="24"/>
        </w:rPr>
        <w:t>0</w:t>
      </w:r>
      <w:r w:rsidR="00B367AC" w:rsidRPr="007740DC">
        <w:rPr>
          <w:rFonts w:eastAsia="Times New Roman" w:cstheme="minorHAnsi"/>
          <w:bCs/>
          <w:sz w:val="24"/>
          <w:szCs w:val="24"/>
        </w:rPr>
        <w:t xml:space="preserve"> de </w:t>
      </w:r>
      <w:r w:rsidR="00E8677D">
        <w:rPr>
          <w:rFonts w:eastAsia="Times New Roman" w:cstheme="minorHAnsi"/>
          <w:bCs/>
          <w:sz w:val="24"/>
          <w:szCs w:val="24"/>
        </w:rPr>
        <w:t>septiembre</w:t>
      </w:r>
      <w:r w:rsidR="00DD2508">
        <w:rPr>
          <w:rFonts w:eastAsia="Times New Roman" w:cstheme="minorHAnsi"/>
          <w:bCs/>
          <w:sz w:val="24"/>
          <w:szCs w:val="24"/>
        </w:rPr>
        <w:t xml:space="preserve"> </w:t>
      </w:r>
      <w:r w:rsidR="00B367AC" w:rsidRPr="007740DC">
        <w:rPr>
          <w:rFonts w:eastAsia="Times New Roman" w:cstheme="minorHAnsi"/>
          <w:bCs/>
          <w:sz w:val="24"/>
          <w:szCs w:val="24"/>
        </w:rPr>
        <w:t>de 20</w:t>
      </w:r>
      <w:r w:rsidR="00DD2508">
        <w:rPr>
          <w:rFonts w:eastAsia="Times New Roman" w:cstheme="minorHAnsi"/>
          <w:bCs/>
          <w:sz w:val="24"/>
          <w:szCs w:val="24"/>
        </w:rPr>
        <w:t>20</w:t>
      </w:r>
      <w:r w:rsidR="00B367AC" w:rsidRPr="007740DC">
        <w:rPr>
          <w:rFonts w:eastAsia="Times New Roman" w:cstheme="minorHAnsi"/>
          <w:bCs/>
          <w:sz w:val="24"/>
          <w:szCs w:val="24"/>
        </w:rPr>
        <w:t xml:space="preserve">, presentan un saldo de $ </w:t>
      </w:r>
      <w:r w:rsidR="00DD2508">
        <w:rPr>
          <w:rFonts w:eastAsia="Times New Roman" w:cstheme="minorHAnsi"/>
          <w:bCs/>
          <w:sz w:val="24"/>
          <w:szCs w:val="24"/>
        </w:rPr>
        <w:t>2</w:t>
      </w:r>
      <w:r w:rsidR="00B367AC" w:rsidRPr="007740DC">
        <w:rPr>
          <w:rFonts w:eastAsia="Times New Roman" w:cstheme="minorHAnsi"/>
          <w:bCs/>
          <w:sz w:val="24"/>
          <w:szCs w:val="24"/>
        </w:rPr>
        <w:t>,</w:t>
      </w:r>
      <w:r w:rsidR="00E8677D">
        <w:rPr>
          <w:rFonts w:eastAsia="Times New Roman" w:cstheme="minorHAnsi"/>
          <w:bCs/>
          <w:sz w:val="24"/>
          <w:szCs w:val="24"/>
        </w:rPr>
        <w:t>599</w:t>
      </w:r>
      <w:r w:rsidR="00C32FDF">
        <w:rPr>
          <w:rFonts w:eastAsia="Times New Roman" w:cstheme="minorHAnsi"/>
          <w:bCs/>
          <w:sz w:val="24"/>
          <w:szCs w:val="24"/>
        </w:rPr>
        <w:t>,</w:t>
      </w:r>
      <w:r w:rsidR="00E8677D">
        <w:rPr>
          <w:rFonts w:eastAsia="Times New Roman" w:cstheme="minorHAnsi"/>
          <w:bCs/>
          <w:sz w:val="24"/>
          <w:szCs w:val="24"/>
        </w:rPr>
        <w:t>374</w:t>
      </w:r>
      <w:r w:rsidR="00C32FDF">
        <w:rPr>
          <w:rFonts w:eastAsia="Times New Roman" w:cstheme="minorHAnsi"/>
          <w:bCs/>
          <w:sz w:val="24"/>
          <w:szCs w:val="24"/>
        </w:rPr>
        <w:t>,</w:t>
      </w:r>
      <w:r w:rsidR="00E8677D">
        <w:rPr>
          <w:rFonts w:eastAsia="Times New Roman" w:cstheme="minorHAnsi"/>
          <w:bCs/>
          <w:sz w:val="24"/>
          <w:szCs w:val="24"/>
        </w:rPr>
        <w:t>450</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4074E5">
        <w:rPr>
          <w:rFonts w:eastAsia="Times New Roman" w:cstheme="minorHAnsi"/>
          <w:bCs/>
          <w:sz w:val="24"/>
          <w:szCs w:val="24"/>
        </w:rPr>
        <w:t>4</w:t>
      </w:r>
      <w:r w:rsidR="00DC735B">
        <w:rPr>
          <w:rFonts w:eastAsia="Times New Roman" w:cstheme="minorHAnsi"/>
          <w:bCs/>
          <w:sz w:val="24"/>
          <w:szCs w:val="24"/>
        </w:rPr>
        <w:t>2</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F7450E">
        <w:rPr>
          <w:rFonts w:eastAsia="Times New Roman" w:cstheme="minorHAnsi"/>
          <w:bCs/>
          <w:sz w:val="24"/>
          <w:szCs w:val="24"/>
        </w:rPr>
        <w:t>6</w:t>
      </w:r>
      <w:r w:rsidR="00F74B89" w:rsidRPr="003840E4">
        <w:rPr>
          <w:rFonts w:eastAsia="Times New Roman" w:cstheme="minorHAnsi"/>
          <w:bCs/>
          <w:sz w:val="24"/>
          <w:szCs w:val="24"/>
        </w:rPr>
        <w:t>,</w:t>
      </w:r>
      <w:r w:rsidR="0065526B">
        <w:rPr>
          <w:rFonts w:eastAsia="Times New Roman" w:cstheme="minorHAnsi"/>
          <w:bCs/>
          <w:sz w:val="24"/>
          <w:szCs w:val="24"/>
        </w:rPr>
        <w:t>781</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DC735B">
        <w:rPr>
          <w:rFonts w:eastAsia="Times New Roman" w:cstheme="minorHAnsi"/>
          <w:bCs/>
          <w:sz w:val="24"/>
          <w:szCs w:val="24"/>
        </w:rPr>
        <w:t>5</w:t>
      </w:r>
      <w:r w:rsidR="0065526B">
        <w:rPr>
          <w:rFonts w:eastAsia="Times New Roman" w:cstheme="minorHAnsi"/>
          <w:bCs/>
          <w:sz w:val="24"/>
          <w:szCs w:val="24"/>
        </w:rPr>
        <w:t>4</w:t>
      </w:r>
      <w:r w:rsidR="00F74B89" w:rsidRPr="003840E4">
        <w:rPr>
          <w:rFonts w:eastAsia="Times New Roman" w:cstheme="minorHAnsi"/>
          <w:bCs/>
          <w:sz w:val="24"/>
          <w:szCs w:val="24"/>
        </w:rPr>
        <w:t>,</w:t>
      </w:r>
      <w:r w:rsidR="0065526B">
        <w:rPr>
          <w:rFonts w:eastAsia="Times New Roman" w:cstheme="minorHAnsi"/>
          <w:bCs/>
          <w:sz w:val="24"/>
          <w:szCs w:val="24"/>
        </w:rPr>
        <w:t>390</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F7450E">
        <w:rPr>
          <w:rFonts w:eastAsia="Times New Roman" w:cstheme="minorHAnsi"/>
          <w:bCs/>
          <w:sz w:val="24"/>
          <w:szCs w:val="24"/>
        </w:rPr>
        <w:t>25</w:t>
      </w:r>
      <w:r w:rsidR="0065526B">
        <w:rPr>
          <w:rFonts w:eastAsia="Times New Roman" w:cstheme="minorHAnsi"/>
          <w:bCs/>
          <w:sz w:val="24"/>
          <w:szCs w:val="24"/>
        </w:rPr>
        <w:t>8</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65526B">
        <w:rPr>
          <w:rFonts w:eastAsia="Times New Roman" w:cstheme="minorHAnsi"/>
          <w:bCs/>
          <w:sz w:val="24"/>
          <w:szCs w:val="24"/>
        </w:rPr>
        <w:t>55</w:t>
      </w:r>
      <w:r w:rsidR="00FF011A">
        <w:rPr>
          <w:rFonts w:eastAsia="Times New Roman" w:cstheme="minorHAnsi"/>
          <w:bCs/>
          <w:sz w:val="24"/>
          <w:szCs w:val="24"/>
        </w:rPr>
        <w:t>6</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65526B">
        <w:rPr>
          <w:rFonts w:eastAsia="Times New Roman" w:cstheme="minorHAnsi"/>
          <w:bCs/>
          <w:sz w:val="24"/>
          <w:szCs w:val="24"/>
        </w:rPr>
        <w:t>631</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5526B">
        <w:rPr>
          <w:rFonts w:eastAsia="Times New Roman" w:cstheme="minorHAnsi"/>
          <w:bCs/>
          <w:sz w:val="24"/>
          <w:szCs w:val="24"/>
        </w:rPr>
        <w:t>513</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65526B">
        <w:rPr>
          <w:rFonts w:eastAsia="Times New Roman" w:cstheme="minorHAnsi"/>
          <w:bCs/>
          <w:sz w:val="24"/>
          <w:szCs w:val="24"/>
        </w:rPr>
        <w:t>685</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65526B">
        <w:rPr>
          <w:rFonts w:eastAsia="Times New Roman" w:cstheme="minorHAnsi"/>
          <w:bCs/>
          <w:sz w:val="24"/>
          <w:szCs w:val="24"/>
        </w:rPr>
        <w:t>328</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FF62A2">
        <w:rPr>
          <w:rFonts w:eastAsia="Times New Roman" w:cstheme="minorHAnsi"/>
          <w:bCs/>
          <w:sz w:val="24"/>
          <w:szCs w:val="24"/>
        </w:rPr>
        <w:t>8</w:t>
      </w:r>
      <w:r w:rsidR="0065526B">
        <w:rPr>
          <w:rFonts w:eastAsia="Times New Roman" w:cstheme="minorHAnsi"/>
          <w:bCs/>
          <w:sz w:val="24"/>
          <w:szCs w:val="24"/>
        </w:rPr>
        <w:t>6</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FF011A">
        <w:rPr>
          <w:rFonts w:eastAsia="Times New Roman" w:cstheme="minorHAnsi"/>
          <w:bCs/>
          <w:sz w:val="24"/>
          <w:szCs w:val="24"/>
        </w:rPr>
        <w:t>3</w:t>
      </w:r>
      <w:r w:rsidR="000F52A4">
        <w:rPr>
          <w:rFonts w:eastAsia="Times New Roman" w:cstheme="minorHAnsi"/>
          <w:bCs/>
          <w:sz w:val="24"/>
          <w:szCs w:val="24"/>
        </w:rPr>
        <w:t>,</w:t>
      </w:r>
      <w:r w:rsidR="0065526B">
        <w:rPr>
          <w:rFonts w:eastAsia="Times New Roman" w:cstheme="minorHAnsi"/>
          <w:bCs/>
          <w:sz w:val="24"/>
          <w:szCs w:val="24"/>
        </w:rPr>
        <w:t>676</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65526B">
        <w:rPr>
          <w:rFonts w:eastAsia="Times New Roman" w:cstheme="minorHAnsi"/>
          <w:bCs/>
          <w:sz w:val="24"/>
          <w:szCs w:val="24"/>
        </w:rPr>
        <w:t>21</w:t>
      </w:r>
      <w:r w:rsidR="00175B27">
        <w:rPr>
          <w:rFonts w:eastAsia="Times New Roman" w:cstheme="minorHAnsi"/>
          <w:bCs/>
          <w:sz w:val="24"/>
          <w:szCs w:val="24"/>
        </w:rPr>
        <w:t>,</w:t>
      </w:r>
      <w:r w:rsidR="0065526B">
        <w:rPr>
          <w:rFonts w:eastAsia="Times New Roman" w:cstheme="minorHAnsi"/>
          <w:bCs/>
          <w:sz w:val="24"/>
          <w:szCs w:val="24"/>
        </w:rPr>
        <w:t>805</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65526B">
              <w:rPr>
                <w:rFonts w:eastAsia="Times New Roman" w:cstheme="minorHAnsi"/>
                <w:bCs/>
                <w:sz w:val="24"/>
                <w:szCs w:val="24"/>
              </w:rPr>
              <w:t>8</w:t>
            </w:r>
            <w:r w:rsidR="00E755FE">
              <w:rPr>
                <w:rFonts w:eastAsia="Times New Roman" w:cstheme="minorHAnsi"/>
                <w:bCs/>
                <w:sz w:val="24"/>
                <w:szCs w:val="24"/>
              </w:rPr>
              <w:t>,</w:t>
            </w:r>
            <w:r w:rsidR="001B5872">
              <w:rPr>
                <w:rFonts w:eastAsia="Times New Roman" w:cstheme="minorHAnsi"/>
                <w:bCs/>
                <w:sz w:val="24"/>
                <w:szCs w:val="24"/>
              </w:rPr>
              <w:t>468</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1B5872">
              <w:rPr>
                <w:rFonts w:eastAsia="Times New Roman" w:cstheme="minorHAnsi"/>
                <w:bCs/>
                <w:sz w:val="24"/>
                <w:szCs w:val="24"/>
              </w:rPr>
              <w:t>72</w:t>
            </w:r>
            <w:r w:rsidR="00A817CB">
              <w:rPr>
                <w:rFonts w:eastAsia="Times New Roman" w:cstheme="minorHAnsi"/>
                <w:bCs/>
                <w:sz w:val="24"/>
                <w:szCs w:val="24"/>
              </w:rPr>
              <w:t>,</w:t>
            </w:r>
            <w:r w:rsidR="001B5872">
              <w:rPr>
                <w:rFonts w:eastAsia="Times New Roman" w:cstheme="minorHAnsi"/>
                <w:bCs/>
                <w:sz w:val="24"/>
                <w:szCs w:val="24"/>
              </w:rPr>
              <w:t>677</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1B5872">
              <w:rPr>
                <w:rFonts w:eastAsia="Times New Roman" w:cstheme="minorHAnsi"/>
                <w:bCs/>
                <w:sz w:val="24"/>
                <w:szCs w:val="24"/>
              </w:rPr>
              <w:t xml:space="preserve"> 9</w:t>
            </w:r>
            <w:r w:rsidR="00F87C4C">
              <w:rPr>
                <w:rFonts w:eastAsia="Times New Roman" w:cstheme="minorHAnsi"/>
                <w:bCs/>
                <w:sz w:val="24"/>
                <w:szCs w:val="24"/>
              </w:rPr>
              <w:t>,</w:t>
            </w:r>
            <w:r w:rsidR="001B5872">
              <w:rPr>
                <w:rFonts w:eastAsia="Times New Roman" w:cstheme="minorHAnsi"/>
                <w:bCs/>
                <w:sz w:val="24"/>
                <w:szCs w:val="24"/>
              </w:rPr>
              <w:t>251</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1B5872">
              <w:rPr>
                <w:rFonts w:eastAsia="Times New Roman" w:cstheme="minorHAnsi"/>
                <w:bCs/>
                <w:sz w:val="24"/>
                <w:szCs w:val="24"/>
              </w:rPr>
              <w:t>29</w:t>
            </w:r>
            <w:r w:rsidR="00202642">
              <w:rPr>
                <w:rFonts w:eastAsia="Times New Roman" w:cstheme="minorHAnsi"/>
                <w:bCs/>
                <w:sz w:val="24"/>
                <w:szCs w:val="24"/>
              </w:rPr>
              <w:t>,</w:t>
            </w:r>
            <w:r w:rsidR="001B5872">
              <w:rPr>
                <w:rFonts w:eastAsia="Times New Roman" w:cstheme="minorHAnsi"/>
                <w:bCs/>
                <w:sz w:val="24"/>
                <w:szCs w:val="24"/>
              </w:rPr>
              <w:t>737</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1B5872">
              <w:rPr>
                <w:rFonts w:eastAsia="Times New Roman" w:cstheme="minorHAnsi"/>
                <w:bCs/>
                <w:sz w:val="24"/>
                <w:szCs w:val="24"/>
              </w:rPr>
              <w:t>34</w:t>
            </w:r>
            <w:r w:rsidR="00202642">
              <w:rPr>
                <w:rFonts w:eastAsia="Times New Roman" w:cstheme="minorHAnsi"/>
                <w:bCs/>
                <w:sz w:val="24"/>
                <w:szCs w:val="24"/>
              </w:rPr>
              <w:t>,</w:t>
            </w:r>
            <w:r w:rsidR="001B5872">
              <w:rPr>
                <w:rFonts w:eastAsia="Times New Roman" w:cstheme="minorHAnsi"/>
                <w:bCs/>
                <w:sz w:val="24"/>
                <w:szCs w:val="24"/>
              </w:rPr>
              <w:t>238</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1B5872">
              <w:rPr>
                <w:rFonts w:eastAsia="Times New Roman" w:cstheme="minorHAnsi"/>
                <w:bCs/>
                <w:sz w:val="24"/>
                <w:szCs w:val="24"/>
              </w:rPr>
              <w:t>19</w:t>
            </w:r>
            <w:r>
              <w:rPr>
                <w:rFonts w:eastAsia="Times New Roman" w:cstheme="minorHAnsi"/>
                <w:bCs/>
                <w:sz w:val="24"/>
                <w:szCs w:val="24"/>
              </w:rPr>
              <w:t>,</w:t>
            </w:r>
            <w:r w:rsidR="001B5872">
              <w:rPr>
                <w:rFonts w:eastAsia="Times New Roman" w:cstheme="minorHAnsi"/>
                <w:bCs/>
                <w:sz w:val="24"/>
                <w:szCs w:val="24"/>
              </w:rPr>
              <w:t>211</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1B5872">
              <w:rPr>
                <w:rFonts w:eastAsia="Times New Roman" w:cstheme="minorHAnsi"/>
                <w:bCs/>
                <w:sz w:val="24"/>
                <w:szCs w:val="24"/>
              </w:rPr>
              <w:t>1,241</w:t>
            </w:r>
            <w:r w:rsidRPr="00544232">
              <w:rPr>
                <w:rFonts w:eastAsia="Times New Roman" w:cstheme="minorHAnsi"/>
                <w:bCs/>
                <w:sz w:val="24"/>
                <w:szCs w:val="24"/>
              </w:rPr>
              <w:t xml:space="preserve"> millones de pesos y por Otros Gastos </w:t>
            </w:r>
            <w:r w:rsidR="001B5872">
              <w:rPr>
                <w:rFonts w:eastAsia="Times New Roman" w:cstheme="minorHAnsi"/>
                <w:bCs/>
                <w:sz w:val="24"/>
                <w:szCs w:val="24"/>
              </w:rPr>
              <w:t>52</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1B5872">
              <w:rPr>
                <w:rFonts w:eastAsia="Times New Roman" w:cstheme="minorHAnsi"/>
                <w:bCs/>
                <w:sz w:val="24"/>
                <w:szCs w:val="24"/>
              </w:rPr>
              <w:t>84</w:t>
            </w:r>
            <w:r w:rsidR="00F52D46">
              <w:rPr>
                <w:rFonts w:eastAsia="Times New Roman" w:cstheme="minorHAnsi"/>
                <w:bCs/>
                <w:sz w:val="24"/>
                <w:szCs w:val="24"/>
              </w:rPr>
              <w:t>,</w:t>
            </w:r>
            <w:r w:rsidR="001B5872">
              <w:rPr>
                <w:rFonts w:eastAsia="Times New Roman" w:cstheme="minorHAnsi"/>
                <w:bCs/>
                <w:sz w:val="24"/>
                <w:szCs w:val="24"/>
              </w:rPr>
              <w:t>4</w:t>
            </w:r>
            <w:r w:rsidR="00FC72A2">
              <w:rPr>
                <w:rFonts w:eastAsia="Times New Roman" w:cstheme="minorHAnsi"/>
                <w:bCs/>
                <w:sz w:val="24"/>
                <w:szCs w:val="24"/>
              </w:rPr>
              <w:t>79</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771ECA" w:rsidRPr="003818ED">
        <w:rPr>
          <w:rFonts w:eastAsia="Times New Roman" w:cstheme="minorHAnsi"/>
          <w:bCs/>
          <w:sz w:val="24"/>
          <w:szCs w:val="24"/>
        </w:rPr>
        <w:t xml:space="preserve">importe de </w:t>
      </w:r>
      <w:r w:rsidR="00D24F52">
        <w:rPr>
          <w:rFonts w:eastAsia="Times New Roman" w:cstheme="minorHAnsi"/>
          <w:bCs/>
          <w:sz w:val="24"/>
          <w:szCs w:val="24"/>
        </w:rPr>
        <w:t>5</w:t>
      </w:r>
      <w:r w:rsidR="00F52D46">
        <w:rPr>
          <w:rFonts w:eastAsia="Times New Roman" w:cstheme="minorHAnsi"/>
          <w:bCs/>
          <w:sz w:val="24"/>
          <w:szCs w:val="24"/>
        </w:rPr>
        <w:t>,</w:t>
      </w:r>
      <w:r w:rsidR="00D24F52">
        <w:rPr>
          <w:rFonts w:eastAsia="Times New Roman" w:cstheme="minorHAnsi"/>
          <w:bCs/>
          <w:sz w:val="24"/>
          <w:szCs w:val="24"/>
        </w:rPr>
        <w:t>916</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89"/>
        <w:gridCol w:w="1416"/>
        <w:gridCol w:w="1415"/>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8" w:type="dxa"/>
          </w:tcPr>
          <w:p w:rsidR="00203405" w:rsidRPr="00771ECA" w:rsidRDefault="00372A40" w:rsidP="007F4504">
            <w:pPr>
              <w:jc w:val="right"/>
              <w:rPr>
                <w:rFonts w:eastAsia="Times New Roman" w:cstheme="minorHAnsi"/>
                <w:bCs/>
                <w:sz w:val="24"/>
                <w:szCs w:val="24"/>
              </w:rPr>
            </w:pPr>
            <w:r>
              <w:rPr>
                <w:rFonts w:eastAsia="Times New Roman" w:cstheme="minorHAnsi"/>
                <w:bCs/>
                <w:sz w:val="24"/>
                <w:szCs w:val="24"/>
              </w:rPr>
              <w:t>10,310,276</w:t>
            </w:r>
          </w:p>
        </w:tc>
        <w:tc>
          <w:tcPr>
            <w:tcW w:w="1417" w:type="dxa"/>
          </w:tcPr>
          <w:p w:rsidR="00203405" w:rsidRPr="00771ECA" w:rsidRDefault="005A064A" w:rsidP="00D24F52">
            <w:pPr>
              <w:jc w:val="right"/>
              <w:rPr>
                <w:rFonts w:eastAsia="Times New Roman" w:cstheme="minorHAnsi"/>
                <w:bCs/>
                <w:sz w:val="24"/>
                <w:szCs w:val="24"/>
              </w:rPr>
            </w:pPr>
            <w:r>
              <w:rPr>
                <w:rFonts w:eastAsia="Times New Roman" w:cstheme="minorHAnsi"/>
                <w:bCs/>
                <w:sz w:val="24"/>
                <w:szCs w:val="24"/>
              </w:rPr>
              <w:t>1</w:t>
            </w:r>
            <w:r w:rsidR="00D24F52">
              <w:rPr>
                <w:rFonts w:eastAsia="Times New Roman" w:cstheme="minorHAnsi"/>
                <w:bCs/>
                <w:sz w:val="24"/>
                <w:szCs w:val="24"/>
              </w:rPr>
              <w:t>5</w:t>
            </w:r>
            <w:r w:rsidR="00203405">
              <w:rPr>
                <w:rFonts w:eastAsia="Times New Roman" w:cstheme="minorHAnsi"/>
                <w:bCs/>
                <w:sz w:val="24"/>
                <w:szCs w:val="24"/>
              </w:rPr>
              <w:t>,</w:t>
            </w:r>
            <w:r w:rsidR="00D24F52">
              <w:rPr>
                <w:rFonts w:eastAsia="Times New Roman" w:cstheme="minorHAnsi"/>
                <w:bCs/>
                <w:sz w:val="24"/>
                <w:szCs w:val="24"/>
              </w:rPr>
              <w:t>683</w:t>
            </w:r>
            <w:r w:rsidR="00203405">
              <w:rPr>
                <w:rFonts w:eastAsia="Times New Roman" w:cstheme="minorHAnsi"/>
                <w:bCs/>
                <w:sz w:val="24"/>
                <w:szCs w:val="24"/>
              </w:rPr>
              <w:t>,</w:t>
            </w:r>
            <w:r w:rsidR="00D24F52">
              <w:rPr>
                <w:rFonts w:eastAsia="Times New Roman" w:cstheme="minorHAnsi"/>
                <w:bCs/>
                <w:sz w:val="24"/>
                <w:szCs w:val="24"/>
              </w:rPr>
              <w:t>399</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-4,317</w:t>
            </w:r>
          </w:p>
        </w:tc>
        <w:tc>
          <w:tcPr>
            <w:tcW w:w="1417" w:type="dxa"/>
          </w:tcPr>
          <w:p w:rsidR="00203405" w:rsidRPr="00771ECA" w:rsidRDefault="00D24F52" w:rsidP="00CF2C06">
            <w:pPr>
              <w:jc w:val="right"/>
              <w:rPr>
                <w:rFonts w:eastAsia="Times New Roman" w:cstheme="minorHAnsi"/>
                <w:bCs/>
                <w:sz w:val="24"/>
                <w:szCs w:val="24"/>
              </w:rPr>
            </w:pPr>
            <w:r>
              <w:rPr>
                <w:rFonts w:eastAsia="Times New Roman" w:cstheme="minorHAnsi"/>
                <w:bCs/>
                <w:sz w:val="24"/>
                <w:szCs w:val="24"/>
              </w:rPr>
              <w:t>52,516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Pr>
                <w:rFonts w:eastAsia="Times New Roman" w:cstheme="minorHAnsi"/>
                <w:bCs/>
                <w:sz w:val="24"/>
                <w:szCs w:val="24"/>
              </w:rPr>
              <w:t>Efectivo para Cambio en Cajas</w:t>
            </w:r>
          </w:p>
        </w:tc>
        <w:tc>
          <w:tcPr>
            <w:tcW w:w="1418" w:type="dxa"/>
          </w:tcPr>
          <w:p w:rsidR="00203405" w:rsidRDefault="00203405" w:rsidP="00372A40">
            <w:pPr>
              <w:jc w:val="right"/>
              <w:rPr>
                <w:rFonts w:eastAsia="Times New Roman" w:cstheme="minorHAnsi"/>
                <w:bCs/>
                <w:sz w:val="24"/>
                <w:szCs w:val="24"/>
              </w:rPr>
            </w:pPr>
            <w:r>
              <w:rPr>
                <w:rFonts w:eastAsia="Times New Roman" w:cstheme="minorHAnsi"/>
                <w:bCs/>
                <w:sz w:val="24"/>
                <w:szCs w:val="24"/>
              </w:rPr>
              <w:t>4</w:t>
            </w:r>
            <w:r w:rsidR="00372A40">
              <w:rPr>
                <w:rFonts w:eastAsia="Times New Roman" w:cstheme="minorHAnsi"/>
                <w:bCs/>
                <w:sz w:val="24"/>
                <w:szCs w:val="24"/>
              </w:rPr>
              <w:t>26</w:t>
            </w:r>
          </w:p>
        </w:tc>
        <w:tc>
          <w:tcPr>
            <w:tcW w:w="1417" w:type="dxa"/>
          </w:tcPr>
          <w:p w:rsidR="00203405" w:rsidRDefault="00D24F52" w:rsidP="00457355">
            <w:pPr>
              <w:jc w:val="right"/>
              <w:rPr>
                <w:rFonts w:eastAsia="Times New Roman" w:cstheme="minorHAnsi"/>
                <w:bCs/>
                <w:sz w:val="24"/>
                <w:szCs w:val="24"/>
              </w:rPr>
            </w:pPr>
            <w:r>
              <w:rPr>
                <w:rFonts w:eastAsia="Times New Roman" w:cstheme="minorHAnsi"/>
                <w:bCs/>
                <w:sz w:val="24"/>
                <w:szCs w:val="24"/>
              </w:rPr>
              <w:t>417</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300,227</w:t>
            </w:r>
          </w:p>
        </w:tc>
        <w:tc>
          <w:tcPr>
            <w:tcW w:w="1417" w:type="dxa"/>
          </w:tcPr>
          <w:p w:rsidR="00203405" w:rsidRPr="00771ECA" w:rsidRDefault="00D24F52" w:rsidP="00724C08">
            <w:pPr>
              <w:jc w:val="right"/>
              <w:rPr>
                <w:rFonts w:eastAsia="Times New Roman" w:cstheme="minorHAnsi"/>
                <w:bCs/>
                <w:sz w:val="24"/>
                <w:szCs w:val="24"/>
              </w:rPr>
            </w:pPr>
            <w:r>
              <w:rPr>
                <w:rFonts w:eastAsia="Times New Roman" w:cstheme="minorHAnsi"/>
                <w:bCs/>
                <w:sz w:val="24"/>
                <w:szCs w:val="24"/>
              </w:rPr>
              <w:t>216,784</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8" w:type="dxa"/>
            <w:shd w:val="clear" w:color="auto" w:fill="auto"/>
            <w:vAlign w:val="center"/>
          </w:tcPr>
          <w:p w:rsidR="00203405" w:rsidRPr="00D41E01" w:rsidRDefault="005A064A" w:rsidP="005A064A">
            <w:pPr>
              <w:jc w:val="right"/>
              <w:rPr>
                <w:rFonts w:eastAsia="Times New Roman" w:cstheme="minorHAnsi"/>
                <w:b/>
                <w:bCs/>
                <w:sz w:val="24"/>
                <w:szCs w:val="24"/>
              </w:rPr>
            </w:pPr>
            <w:r>
              <w:rPr>
                <w:rFonts w:eastAsia="Times New Roman" w:cstheme="minorHAnsi"/>
                <w:b/>
                <w:bCs/>
                <w:sz w:val="24"/>
                <w:szCs w:val="24"/>
              </w:rPr>
              <w:t>10</w:t>
            </w:r>
            <w:r w:rsidR="007F4504">
              <w:rPr>
                <w:rFonts w:eastAsia="Times New Roman" w:cstheme="minorHAnsi"/>
                <w:b/>
                <w:bCs/>
                <w:sz w:val="24"/>
                <w:szCs w:val="24"/>
              </w:rPr>
              <w:t>,</w:t>
            </w:r>
            <w:r>
              <w:rPr>
                <w:rFonts w:eastAsia="Times New Roman" w:cstheme="minorHAnsi"/>
                <w:b/>
                <w:bCs/>
                <w:sz w:val="24"/>
                <w:szCs w:val="24"/>
              </w:rPr>
              <w:t>606</w:t>
            </w:r>
            <w:r w:rsidR="00203405">
              <w:rPr>
                <w:rFonts w:eastAsia="Times New Roman" w:cstheme="minorHAnsi"/>
                <w:b/>
                <w:bCs/>
                <w:sz w:val="24"/>
                <w:szCs w:val="24"/>
              </w:rPr>
              <w:t>,</w:t>
            </w:r>
            <w:r>
              <w:rPr>
                <w:rFonts w:eastAsia="Times New Roman" w:cstheme="minorHAnsi"/>
                <w:b/>
                <w:bCs/>
                <w:sz w:val="24"/>
                <w:szCs w:val="24"/>
              </w:rPr>
              <w:t>612</w:t>
            </w:r>
          </w:p>
        </w:tc>
        <w:tc>
          <w:tcPr>
            <w:tcW w:w="1417" w:type="dxa"/>
            <w:shd w:val="clear" w:color="auto" w:fill="auto"/>
            <w:vAlign w:val="center"/>
          </w:tcPr>
          <w:p w:rsidR="00203405" w:rsidRPr="00D41E01" w:rsidRDefault="00EE2FA1" w:rsidP="00CF2C06">
            <w:pPr>
              <w:jc w:val="right"/>
              <w:rPr>
                <w:rFonts w:eastAsia="Times New Roman" w:cstheme="minorHAnsi"/>
                <w:b/>
                <w:bCs/>
                <w:sz w:val="24"/>
                <w:szCs w:val="24"/>
              </w:rPr>
            </w:pPr>
            <w:r>
              <w:rPr>
                <w:rFonts w:eastAsia="Times New Roman" w:cstheme="minorHAnsi"/>
                <w:b/>
                <w:bCs/>
                <w:sz w:val="24"/>
                <w:szCs w:val="24"/>
              </w:rPr>
              <w:t>1</w:t>
            </w:r>
            <w:r w:rsidR="00D24F52">
              <w:rPr>
                <w:rFonts w:eastAsia="Times New Roman" w:cstheme="minorHAnsi"/>
                <w:b/>
                <w:bCs/>
                <w:sz w:val="24"/>
                <w:szCs w:val="24"/>
              </w:rPr>
              <w:t>5,953,116</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B30CC7"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1773CA8A" wp14:editId="0A602DBE">
            <wp:extent cx="6120130" cy="36277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627755"/>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B30CC7"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3397F9F5" wp14:editId="23D0E01D">
            <wp:extent cx="6120130" cy="71278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127875"/>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2020</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 xml:space="preserve">por las </w:t>
      </w:r>
      <w:r w:rsidRPr="00D41E01">
        <w:rPr>
          <w:rFonts w:cstheme="minorHAnsi"/>
          <w:sz w:val="24"/>
          <w:szCs w:val="24"/>
        </w:rPr>
        <w:lastRenderedPageBreak/>
        <w:t>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lastRenderedPageBreak/>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w:t>
      </w:r>
      <w:r w:rsidR="00353779" w:rsidRPr="00592F4A">
        <w:rPr>
          <w:rFonts w:cstheme="minorHAnsi"/>
          <w:sz w:val="24"/>
          <w:szCs w:val="24"/>
        </w:rPr>
        <w:lastRenderedPageBreak/>
        <w:t>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441D71" w:rsidP="00970DEF">
      <w:pPr>
        <w:pStyle w:val="Prrafodelista"/>
        <w:spacing w:after="0"/>
        <w:ind w:left="-851"/>
        <w:jc w:val="center"/>
        <w:rPr>
          <w:rFonts w:cstheme="minorHAnsi"/>
          <w:sz w:val="24"/>
          <w:szCs w:val="24"/>
        </w:rPr>
      </w:pPr>
      <w:r w:rsidRPr="00441D71">
        <w:rPr>
          <w:rFonts w:cstheme="minorHAnsi"/>
          <w:noProof/>
          <w:sz w:val="24"/>
          <w:szCs w:val="24"/>
        </w:rPr>
        <w:drawing>
          <wp:inline distT="0" distB="0" distL="0" distR="0">
            <wp:extent cx="6120130" cy="4658451"/>
            <wp:effectExtent l="0" t="0" r="0" b="0"/>
            <wp:docPr id="14" name="Imagen 14" descr="C:\Users\martha_martinez\Downloads\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_martinez\Downloads\imag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658451"/>
                    </a:xfrm>
                    <a:prstGeom prst="rect">
                      <a:avLst/>
                    </a:prstGeom>
                    <a:noFill/>
                    <a:ln>
                      <a:noFill/>
                    </a:ln>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EE6257" w:rsidP="00511346">
      <w:pPr>
        <w:spacing w:after="0"/>
        <w:ind w:left="-284"/>
        <w:rPr>
          <w:b/>
          <w:sz w:val="24"/>
          <w:szCs w:val="24"/>
        </w:rPr>
      </w:pPr>
      <w:r>
        <w:rPr>
          <w:noProof/>
        </w:rPr>
        <w:drawing>
          <wp:inline distT="0" distB="0" distL="0" distR="0" wp14:anchorId="1ED5B337" wp14:editId="65E0EF5C">
            <wp:extent cx="6120130" cy="24136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413635"/>
                    </a:xfrm>
                    <a:prstGeom prst="rect">
                      <a:avLst/>
                    </a:prstGeom>
                  </pic:spPr>
                </pic:pic>
              </a:graphicData>
            </a:graphic>
          </wp:inline>
        </w:drawing>
      </w:r>
    </w:p>
    <w:p w:rsidR="00EE6257" w:rsidRDefault="00EE6257" w:rsidP="00511346">
      <w:pPr>
        <w:spacing w:after="0"/>
        <w:ind w:left="-284"/>
        <w:rPr>
          <w:b/>
          <w:sz w:val="24"/>
          <w:szCs w:val="24"/>
        </w:rPr>
      </w:pPr>
      <w:r>
        <w:rPr>
          <w:noProof/>
        </w:rPr>
        <w:drawing>
          <wp:inline distT="0" distB="0" distL="0" distR="0" wp14:anchorId="40995422" wp14:editId="5F10774A">
            <wp:extent cx="6120130" cy="13735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73505"/>
                    </a:xfrm>
                    <a:prstGeom prst="rect">
                      <a:avLst/>
                    </a:prstGeom>
                  </pic:spPr>
                </pic:pic>
              </a:graphicData>
            </a:graphic>
          </wp:inline>
        </w:drawing>
      </w:r>
    </w:p>
    <w:p w:rsidR="0050525F" w:rsidRDefault="0050525F" w:rsidP="00511346">
      <w:pPr>
        <w:spacing w:after="0"/>
        <w:ind w:left="-284"/>
        <w:rPr>
          <w:b/>
          <w:sz w:val="24"/>
          <w:szCs w:val="24"/>
        </w:rPr>
      </w:pPr>
      <w:r>
        <w:rPr>
          <w:noProof/>
        </w:rPr>
        <w:drawing>
          <wp:inline distT="0" distB="0" distL="0" distR="0" wp14:anchorId="462721DD" wp14:editId="1C862F67">
            <wp:extent cx="6120130" cy="173101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731010"/>
                    </a:xfrm>
                    <a:prstGeom prst="rect">
                      <a:avLst/>
                    </a:prstGeom>
                  </pic:spPr>
                </pic:pic>
              </a:graphicData>
            </a:graphic>
          </wp:inline>
        </w:drawing>
      </w:r>
    </w:p>
    <w:p w:rsidR="00EE6257" w:rsidRDefault="00EE6257" w:rsidP="0050525F">
      <w:pPr>
        <w:spacing w:after="0"/>
        <w:rPr>
          <w:b/>
          <w:sz w:val="24"/>
          <w:szCs w:val="24"/>
        </w:rPr>
      </w:pPr>
    </w:p>
    <w:p w:rsidR="00791991" w:rsidRPr="005966E9" w:rsidRDefault="00791991" w:rsidP="00511346">
      <w:pPr>
        <w:spacing w:after="0"/>
        <w:ind w:left="-284"/>
        <w:rPr>
          <w:b/>
          <w:sz w:val="24"/>
          <w:szCs w:val="24"/>
        </w:rPr>
      </w:pP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Default="000F146B" w:rsidP="002C213F">
      <w:pPr>
        <w:pStyle w:val="Prrafodelista"/>
        <w:spacing w:after="0"/>
        <w:ind w:left="436"/>
        <w:jc w:val="both"/>
      </w:pPr>
    </w:p>
    <w:p w:rsidR="006B1F34" w:rsidRDefault="006B1F34" w:rsidP="002C213F">
      <w:pPr>
        <w:pStyle w:val="Prrafodelista"/>
        <w:spacing w:after="0"/>
        <w:ind w:left="436"/>
        <w:jc w:val="both"/>
      </w:pPr>
    </w:p>
    <w:p w:rsidR="006B1F34" w:rsidRPr="006F0B35" w:rsidRDefault="006B1F34" w:rsidP="002C213F">
      <w:pPr>
        <w:pStyle w:val="Prrafodelista"/>
        <w:spacing w:after="0"/>
        <w:ind w:left="436"/>
        <w:jc w:val="both"/>
      </w:pPr>
    </w:p>
    <w:p w:rsidR="003D35FB" w:rsidRDefault="003D35FB" w:rsidP="002C213F">
      <w:pPr>
        <w:pStyle w:val="Prrafodelista"/>
        <w:spacing w:after="0"/>
        <w:ind w:left="-284"/>
        <w:jc w:val="both"/>
        <w:rPr>
          <w:b/>
          <w:sz w:val="24"/>
          <w:szCs w:val="24"/>
        </w:rPr>
      </w:pP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20</w:t>
      </w:r>
      <w:r w:rsidR="00997587">
        <w:rPr>
          <w:sz w:val="24"/>
          <w:szCs w:val="24"/>
        </w:rPr>
        <w:t>, es</w:t>
      </w:r>
      <w:r w:rsidR="00E5248F">
        <w:rPr>
          <w:sz w:val="24"/>
          <w:szCs w:val="24"/>
        </w:rPr>
        <w:t xml:space="preserve">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bookmarkStart w:id="0" w:name="_GoBack"/>
      <w:bookmarkEnd w:id="0"/>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5"/>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A6" w:rsidRDefault="00572AA6" w:rsidP="00447943">
      <w:pPr>
        <w:spacing w:after="0" w:line="240" w:lineRule="auto"/>
      </w:pPr>
      <w:r>
        <w:separator/>
      </w:r>
    </w:p>
  </w:endnote>
  <w:endnote w:type="continuationSeparator" w:id="0">
    <w:p w:rsidR="00572AA6" w:rsidRDefault="00572AA6"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997587" w:rsidRPr="00997587">
      <w:rPr>
        <w:noProof/>
        <w:color w:val="auto"/>
        <w:szCs w:val="24"/>
      </w:rPr>
      <w:t>20</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A6" w:rsidRDefault="00572AA6" w:rsidP="00447943">
      <w:pPr>
        <w:spacing w:after="0" w:line="240" w:lineRule="auto"/>
      </w:pPr>
      <w:r>
        <w:separator/>
      </w:r>
    </w:p>
  </w:footnote>
  <w:footnote w:type="continuationSeparator" w:id="0">
    <w:p w:rsidR="00572AA6" w:rsidRDefault="00572AA6"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2AA6"/>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4210"/>
    <w:rsid w:val="0065526B"/>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1069E"/>
    <w:rsid w:val="008150A6"/>
    <w:rsid w:val="008225BA"/>
    <w:rsid w:val="00822B23"/>
    <w:rsid w:val="00825479"/>
    <w:rsid w:val="00831D40"/>
    <w:rsid w:val="00832BC1"/>
    <w:rsid w:val="0083483C"/>
    <w:rsid w:val="00837DCA"/>
    <w:rsid w:val="00844FE0"/>
    <w:rsid w:val="00846B33"/>
    <w:rsid w:val="00847DE6"/>
    <w:rsid w:val="00847F3E"/>
    <w:rsid w:val="008503C3"/>
    <w:rsid w:val="00851A7A"/>
    <w:rsid w:val="00855AB6"/>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FD1"/>
    <w:rsid w:val="0098223B"/>
    <w:rsid w:val="00985EE7"/>
    <w:rsid w:val="0098781A"/>
    <w:rsid w:val="00987975"/>
    <w:rsid w:val="009879B5"/>
    <w:rsid w:val="00990905"/>
    <w:rsid w:val="009964CB"/>
    <w:rsid w:val="00997587"/>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D8F"/>
    <w:rsid w:val="00AF6423"/>
    <w:rsid w:val="00AF6A22"/>
    <w:rsid w:val="00B01463"/>
    <w:rsid w:val="00B060CF"/>
    <w:rsid w:val="00B11FEF"/>
    <w:rsid w:val="00B17B88"/>
    <w:rsid w:val="00B231E0"/>
    <w:rsid w:val="00B2401E"/>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105F"/>
    <w:rsid w:val="00BB1A97"/>
    <w:rsid w:val="00BB2CDF"/>
    <w:rsid w:val="00BB5BE4"/>
    <w:rsid w:val="00BB5D6E"/>
    <w:rsid w:val="00BC3FF8"/>
    <w:rsid w:val="00BC4085"/>
    <w:rsid w:val="00BC5C26"/>
    <w:rsid w:val="00BD2ABF"/>
    <w:rsid w:val="00BD4A06"/>
    <w:rsid w:val="00BD6EDB"/>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735B"/>
    <w:rsid w:val="00DD1F3F"/>
    <w:rsid w:val="00DD2508"/>
    <w:rsid w:val="00DD2926"/>
    <w:rsid w:val="00DD7910"/>
    <w:rsid w:val="00DE2D7D"/>
    <w:rsid w:val="00DE3EBC"/>
    <w:rsid w:val="00DE4B2C"/>
    <w:rsid w:val="00DE5FB4"/>
    <w:rsid w:val="00DF033A"/>
    <w:rsid w:val="00DF13A5"/>
    <w:rsid w:val="00DF207F"/>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830"/>
    <w:rsid w:val="00F125A9"/>
    <w:rsid w:val="00F211CE"/>
    <w:rsid w:val="00F27F9D"/>
    <w:rsid w:val="00F40ABC"/>
    <w:rsid w:val="00F42643"/>
    <w:rsid w:val="00F46BD7"/>
    <w:rsid w:val="00F52D46"/>
    <w:rsid w:val="00F574B6"/>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4D35"/>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2C92-570B-4475-83A6-E2B77690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4487</Words>
  <Characters>24681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7</cp:revision>
  <cp:lastPrinted>2020-04-22T16:36:00Z</cp:lastPrinted>
  <dcterms:created xsi:type="dcterms:W3CDTF">2020-07-31T22:55:00Z</dcterms:created>
  <dcterms:modified xsi:type="dcterms:W3CDTF">2020-10-29T00:10:00Z</dcterms:modified>
</cp:coreProperties>
</file>