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DD2508">
        <w:rPr>
          <w:rFonts w:eastAsia="Times New Roman" w:cstheme="minorHAnsi"/>
          <w:bCs/>
          <w:sz w:val="24"/>
          <w:szCs w:val="24"/>
        </w:rPr>
        <w:t>7</w:t>
      </w:r>
      <w:r w:rsidR="00B367AC">
        <w:rPr>
          <w:rFonts w:eastAsia="Times New Roman" w:cstheme="minorHAnsi"/>
          <w:bCs/>
          <w:sz w:val="24"/>
          <w:szCs w:val="24"/>
        </w:rPr>
        <w:t>,</w:t>
      </w:r>
      <w:r w:rsidR="00066BD1">
        <w:rPr>
          <w:rFonts w:eastAsia="Times New Roman" w:cstheme="minorHAnsi"/>
          <w:bCs/>
          <w:sz w:val="24"/>
          <w:szCs w:val="24"/>
        </w:rPr>
        <w:t>934</w:t>
      </w:r>
      <w:r w:rsidR="003A450F">
        <w:rPr>
          <w:rFonts w:eastAsia="Times New Roman" w:cstheme="minorHAnsi"/>
          <w:bCs/>
          <w:sz w:val="24"/>
          <w:szCs w:val="24"/>
        </w:rPr>
        <w:t>,</w:t>
      </w:r>
      <w:r w:rsidR="00066BD1">
        <w:rPr>
          <w:rFonts w:eastAsia="Times New Roman" w:cstheme="minorHAnsi"/>
          <w:bCs/>
          <w:sz w:val="24"/>
          <w:szCs w:val="24"/>
        </w:rPr>
        <w:t>817</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77537A" w:rsidP="00066BD1">
            <w:pPr>
              <w:jc w:val="right"/>
              <w:rPr>
                <w:rFonts w:eastAsia="Times New Roman" w:cstheme="minorHAnsi"/>
                <w:sz w:val="24"/>
                <w:szCs w:val="24"/>
              </w:rPr>
            </w:pPr>
            <w:r>
              <w:rPr>
                <w:rFonts w:eastAsia="Times New Roman" w:cstheme="minorHAnsi"/>
                <w:sz w:val="24"/>
                <w:szCs w:val="24"/>
              </w:rPr>
              <w:t>8</w:t>
            </w:r>
            <w:r w:rsidR="00066BD1">
              <w:rPr>
                <w:rFonts w:eastAsia="Times New Roman" w:cstheme="minorHAnsi"/>
                <w:sz w:val="24"/>
                <w:szCs w:val="24"/>
              </w:rPr>
              <w:t>0</w:t>
            </w:r>
            <w:r w:rsidR="00DD2508">
              <w:rPr>
                <w:rFonts w:eastAsia="Times New Roman" w:cstheme="minorHAnsi"/>
                <w:sz w:val="24"/>
                <w:szCs w:val="24"/>
              </w:rPr>
              <w:t>1</w:t>
            </w:r>
            <w:r>
              <w:rPr>
                <w:rFonts w:eastAsia="Times New Roman" w:cstheme="minorHAnsi"/>
                <w:sz w:val="24"/>
                <w:szCs w:val="24"/>
              </w:rPr>
              <w:t>,</w:t>
            </w:r>
            <w:r w:rsidR="00066BD1">
              <w:rPr>
                <w:rFonts w:eastAsia="Times New Roman" w:cstheme="minorHAnsi"/>
                <w:sz w:val="24"/>
                <w:szCs w:val="24"/>
              </w:rPr>
              <w:t>848</w:t>
            </w:r>
            <w:r>
              <w:rPr>
                <w:rFonts w:eastAsia="Times New Roman" w:cstheme="minorHAnsi"/>
                <w:sz w:val="24"/>
                <w:szCs w:val="24"/>
              </w:rPr>
              <w:t>,</w:t>
            </w:r>
            <w:r w:rsidR="00066BD1">
              <w:rPr>
                <w:rFonts w:eastAsia="Times New Roman" w:cstheme="minorHAnsi"/>
                <w:sz w:val="24"/>
                <w:szCs w:val="24"/>
              </w:rPr>
              <w:t>935</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066BD1" w:rsidP="00066BD1">
            <w:pPr>
              <w:jc w:val="right"/>
              <w:rPr>
                <w:rFonts w:eastAsia="Times New Roman" w:cstheme="minorHAnsi"/>
                <w:sz w:val="24"/>
                <w:szCs w:val="24"/>
              </w:rPr>
            </w:pPr>
            <w:r>
              <w:rPr>
                <w:rFonts w:eastAsia="Times New Roman" w:cstheme="minorHAnsi"/>
                <w:sz w:val="24"/>
                <w:szCs w:val="24"/>
              </w:rPr>
              <w:t>372,268</w:t>
            </w:r>
            <w:r w:rsidR="00DD2508">
              <w:rPr>
                <w:rFonts w:eastAsia="Times New Roman" w:cstheme="minorHAnsi"/>
                <w:sz w:val="24"/>
                <w:szCs w:val="24"/>
              </w:rPr>
              <w:t>,</w:t>
            </w:r>
            <w:r>
              <w:rPr>
                <w:rFonts w:eastAsia="Times New Roman" w:cstheme="minorHAnsi"/>
                <w:sz w:val="24"/>
                <w:szCs w:val="24"/>
              </w:rPr>
              <w:t>328</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066BD1" w:rsidP="00066BD1">
            <w:pPr>
              <w:jc w:val="right"/>
              <w:rPr>
                <w:rFonts w:eastAsia="Times New Roman" w:cstheme="minorHAnsi"/>
                <w:sz w:val="24"/>
                <w:szCs w:val="24"/>
              </w:rPr>
            </w:pPr>
            <w:r>
              <w:rPr>
                <w:rFonts w:eastAsia="Times New Roman" w:cstheme="minorHAnsi"/>
                <w:b/>
                <w:bCs/>
                <w:sz w:val="24"/>
                <w:szCs w:val="24"/>
              </w:rPr>
              <w:t>$ 2,664</w:t>
            </w:r>
            <w:r w:rsidR="0077537A">
              <w:rPr>
                <w:rFonts w:eastAsia="Times New Roman" w:cstheme="minorHAnsi"/>
                <w:b/>
                <w:bCs/>
                <w:sz w:val="24"/>
                <w:szCs w:val="24"/>
              </w:rPr>
              <w:t>,</w:t>
            </w:r>
            <w:r>
              <w:rPr>
                <w:rFonts w:eastAsia="Times New Roman" w:cstheme="minorHAnsi"/>
                <w:b/>
                <w:bCs/>
                <w:sz w:val="24"/>
                <w:szCs w:val="24"/>
              </w:rPr>
              <w:t>931</w:t>
            </w:r>
            <w:r w:rsidR="0077537A">
              <w:rPr>
                <w:rFonts w:eastAsia="Times New Roman" w:cstheme="minorHAnsi"/>
                <w:b/>
                <w:bCs/>
                <w:sz w:val="24"/>
                <w:szCs w:val="24"/>
              </w:rPr>
              <w:t>,</w:t>
            </w:r>
            <w:r>
              <w:rPr>
                <w:rFonts w:eastAsia="Times New Roman" w:cstheme="minorHAnsi"/>
                <w:b/>
                <w:bCs/>
                <w:sz w:val="24"/>
                <w:szCs w:val="24"/>
              </w:rPr>
              <w:t>692</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066BD1">
        <w:rPr>
          <w:rFonts w:eastAsia="Times New Roman" w:cstheme="minorHAnsi"/>
          <w:bCs/>
          <w:sz w:val="24"/>
          <w:szCs w:val="24"/>
        </w:rPr>
        <w:t>0</w:t>
      </w:r>
      <w:r w:rsidR="00B367AC" w:rsidRPr="007740DC">
        <w:rPr>
          <w:rFonts w:eastAsia="Times New Roman" w:cstheme="minorHAnsi"/>
          <w:bCs/>
          <w:sz w:val="24"/>
          <w:szCs w:val="24"/>
        </w:rPr>
        <w:t xml:space="preserve"> de </w:t>
      </w:r>
      <w:r w:rsidR="00066BD1">
        <w:rPr>
          <w:rFonts w:eastAsia="Times New Roman" w:cstheme="minorHAnsi"/>
          <w:bCs/>
          <w:sz w:val="24"/>
          <w:szCs w:val="24"/>
        </w:rPr>
        <w:t>junio</w:t>
      </w:r>
      <w:r w:rsidR="00DD2508">
        <w:rPr>
          <w:rFonts w:eastAsia="Times New Roman" w:cstheme="minorHAnsi"/>
          <w:bCs/>
          <w:sz w:val="24"/>
          <w:szCs w:val="24"/>
        </w:rPr>
        <w:t xml:space="preserve"> </w:t>
      </w:r>
      <w:r w:rsidR="00B367AC" w:rsidRPr="007740DC">
        <w:rPr>
          <w:rFonts w:eastAsia="Times New Roman" w:cstheme="minorHAnsi"/>
          <w:bCs/>
          <w:sz w:val="24"/>
          <w:szCs w:val="24"/>
        </w:rPr>
        <w:t>de 20</w:t>
      </w:r>
      <w:r w:rsidR="00DD2508">
        <w:rPr>
          <w:rFonts w:eastAsia="Times New Roman" w:cstheme="minorHAnsi"/>
          <w:bCs/>
          <w:sz w:val="24"/>
          <w:szCs w:val="24"/>
        </w:rPr>
        <w:t>20</w:t>
      </w:r>
      <w:r w:rsidR="00B367AC" w:rsidRPr="007740DC">
        <w:rPr>
          <w:rFonts w:eastAsia="Times New Roman" w:cstheme="minorHAnsi"/>
          <w:bCs/>
          <w:sz w:val="24"/>
          <w:szCs w:val="24"/>
        </w:rPr>
        <w:t xml:space="preserve">, presentan un saldo de $ </w:t>
      </w:r>
      <w:r w:rsidR="00DD2508">
        <w:rPr>
          <w:rFonts w:eastAsia="Times New Roman" w:cstheme="minorHAnsi"/>
          <w:bCs/>
          <w:sz w:val="24"/>
          <w:szCs w:val="24"/>
        </w:rPr>
        <w:t>2</w:t>
      </w:r>
      <w:r w:rsidR="00B367AC" w:rsidRPr="007740DC">
        <w:rPr>
          <w:rFonts w:eastAsia="Times New Roman" w:cstheme="minorHAnsi"/>
          <w:bCs/>
          <w:sz w:val="24"/>
          <w:szCs w:val="24"/>
        </w:rPr>
        <w:t>,</w:t>
      </w:r>
      <w:r w:rsidR="00066BD1">
        <w:rPr>
          <w:rFonts w:eastAsia="Times New Roman" w:cstheme="minorHAnsi"/>
          <w:bCs/>
          <w:sz w:val="24"/>
          <w:szCs w:val="24"/>
        </w:rPr>
        <w:t>091</w:t>
      </w:r>
      <w:r w:rsidR="00C32FDF">
        <w:rPr>
          <w:rFonts w:eastAsia="Times New Roman" w:cstheme="minorHAnsi"/>
          <w:bCs/>
          <w:sz w:val="24"/>
          <w:szCs w:val="24"/>
        </w:rPr>
        <w:t>,</w:t>
      </w:r>
      <w:r w:rsidR="00066BD1">
        <w:rPr>
          <w:rFonts w:eastAsia="Times New Roman" w:cstheme="minorHAnsi"/>
          <w:bCs/>
          <w:sz w:val="24"/>
          <w:szCs w:val="24"/>
        </w:rPr>
        <w:t>507</w:t>
      </w:r>
      <w:r w:rsidR="00C32FDF">
        <w:rPr>
          <w:rFonts w:eastAsia="Times New Roman" w:cstheme="minorHAnsi"/>
          <w:bCs/>
          <w:sz w:val="24"/>
          <w:szCs w:val="24"/>
        </w:rPr>
        <w:t>,</w:t>
      </w:r>
      <w:r w:rsidR="00066BD1">
        <w:rPr>
          <w:rFonts w:eastAsia="Times New Roman" w:cstheme="minorHAnsi"/>
          <w:bCs/>
          <w:sz w:val="24"/>
          <w:szCs w:val="24"/>
        </w:rPr>
        <w:t>245</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4074E5">
        <w:rPr>
          <w:rFonts w:eastAsia="Times New Roman" w:cstheme="minorHAnsi"/>
          <w:bCs/>
          <w:sz w:val="24"/>
          <w:szCs w:val="24"/>
        </w:rPr>
        <w:t>4</w:t>
      </w:r>
      <w:r w:rsidR="00DC735B">
        <w:rPr>
          <w:rFonts w:eastAsia="Times New Roman" w:cstheme="minorHAnsi"/>
          <w:bCs/>
          <w:sz w:val="24"/>
          <w:szCs w:val="24"/>
        </w:rPr>
        <w:t>2</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F7450E">
        <w:rPr>
          <w:rFonts w:eastAsia="Times New Roman" w:cstheme="minorHAnsi"/>
          <w:bCs/>
          <w:sz w:val="24"/>
          <w:szCs w:val="24"/>
        </w:rPr>
        <w:t>6</w:t>
      </w:r>
      <w:r w:rsidR="00F74B89" w:rsidRPr="003840E4">
        <w:rPr>
          <w:rFonts w:eastAsia="Times New Roman" w:cstheme="minorHAnsi"/>
          <w:bCs/>
          <w:sz w:val="24"/>
          <w:szCs w:val="24"/>
        </w:rPr>
        <w:t>,</w:t>
      </w:r>
      <w:r w:rsidR="00FF011A">
        <w:rPr>
          <w:rFonts w:eastAsia="Times New Roman" w:cstheme="minorHAnsi"/>
          <w:bCs/>
          <w:sz w:val="24"/>
          <w:szCs w:val="24"/>
        </w:rPr>
        <w:t>6</w:t>
      </w:r>
      <w:r w:rsidR="00DC735B">
        <w:rPr>
          <w:rFonts w:eastAsia="Times New Roman" w:cstheme="minorHAnsi"/>
          <w:bCs/>
          <w:sz w:val="24"/>
          <w:szCs w:val="24"/>
        </w:rPr>
        <w:t>63</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DC735B">
        <w:rPr>
          <w:rFonts w:eastAsia="Times New Roman" w:cstheme="minorHAnsi"/>
          <w:bCs/>
          <w:sz w:val="24"/>
          <w:szCs w:val="24"/>
        </w:rPr>
        <w:t>53</w:t>
      </w:r>
      <w:r w:rsidR="00F74B89" w:rsidRPr="003840E4">
        <w:rPr>
          <w:rFonts w:eastAsia="Times New Roman" w:cstheme="minorHAnsi"/>
          <w:bCs/>
          <w:sz w:val="24"/>
          <w:szCs w:val="24"/>
        </w:rPr>
        <w:t>,</w:t>
      </w:r>
      <w:r w:rsidR="00DC735B">
        <w:rPr>
          <w:rFonts w:eastAsia="Times New Roman" w:cstheme="minorHAnsi"/>
          <w:bCs/>
          <w:sz w:val="24"/>
          <w:szCs w:val="24"/>
        </w:rPr>
        <w:t>086</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F7450E">
        <w:rPr>
          <w:rFonts w:eastAsia="Times New Roman" w:cstheme="minorHAnsi"/>
          <w:bCs/>
          <w:sz w:val="24"/>
          <w:szCs w:val="24"/>
        </w:rPr>
        <w:t>250</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FF011A">
        <w:rPr>
          <w:rFonts w:eastAsia="Times New Roman" w:cstheme="minorHAnsi"/>
          <w:bCs/>
          <w:sz w:val="24"/>
          <w:szCs w:val="24"/>
        </w:rPr>
        <w:t>426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DC735B">
        <w:rPr>
          <w:rFonts w:eastAsia="Times New Roman" w:cstheme="minorHAnsi"/>
          <w:bCs/>
          <w:sz w:val="24"/>
          <w:szCs w:val="24"/>
        </w:rPr>
        <w:t>613</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C01D91">
        <w:rPr>
          <w:rFonts w:eastAsia="Times New Roman" w:cstheme="minorHAnsi"/>
          <w:bCs/>
          <w:sz w:val="24"/>
          <w:szCs w:val="24"/>
        </w:rPr>
        <w:t>4</w:t>
      </w:r>
      <w:r w:rsidR="00DC735B">
        <w:rPr>
          <w:rFonts w:eastAsia="Times New Roman" w:cstheme="minorHAnsi"/>
          <w:bCs/>
          <w:sz w:val="24"/>
          <w:szCs w:val="24"/>
        </w:rPr>
        <w:t>48</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FF011A">
        <w:rPr>
          <w:rFonts w:eastAsia="Times New Roman" w:cstheme="minorHAnsi"/>
          <w:bCs/>
          <w:sz w:val="24"/>
          <w:szCs w:val="24"/>
        </w:rPr>
        <w:t>3</w:t>
      </w:r>
      <w:r w:rsidR="00DC735B">
        <w:rPr>
          <w:rFonts w:eastAsia="Times New Roman" w:cstheme="minorHAnsi"/>
          <w:bCs/>
          <w:sz w:val="24"/>
          <w:szCs w:val="24"/>
        </w:rPr>
        <w:t>62</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A817CB">
        <w:rPr>
          <w:rFonts w:eastAsia="Times New Roman" w:cstheme="minorHAnsi"/>
          <w:bCs/>
          <w:sz w:val="24"/>
          <w:szCs w:val="24"/>
        </w:rPr>
        <w:t>233</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FF62A2">
        <w:rPr>
          <w:rFonts w:eastAsia="Times New Roman" w:cstheme="minorHAnsi"/>
          <w:bCs/>
          <w:sz w:val="24"/>
          <w:szCs w:val="24"/>
        </w:rPr>
        <w:t>8</w:t>
      </w:r>
      <w:r w:rsidR="00A817CB">
        <w:rPr>
          <w:rFonts w:eastAsia="Times New Roman" w:cstheme="minorHAnsi"/>
          <w:bCs/>
          <w:sz w:val="24"/>
          <w:szCs w:val="24"/>
        </w:rPr>
        <w:t>7</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F011A">
        <w:rPr>
          <w:rFonts w:eastAsia="Times New Roman" w:cstheme="minorHAnsi"/>
          <w:bCs/>
          <w:sz w:val="24"/>
          <w:szCs w:val="24"/>
        </w:rPr>
        <w:t>3</w:t>
      </w:r>
      <w:r w:rsidR="000F52A4">
        <w:rPr>
          <w:rFonts w:eastAsia="Times New Roman" w:cstheme="minorHAnsi"/>
          <w:bCs/>
          <w:sz w:val="24"/>
          <w:szCs w:val="24"/>
        </w:rPr>
        <w:t>,</w:t>
      </w:r>
      <w:r w:rsidR="00FF011A">
        <w:rPr>
          <w:rFonts w:eastAsia="Times New Roman" w:cstheme="minorHAnsi"/>
          <w:bCs/>
          <w:sz w:val="24"/>
          <w:szCs w:val="24"/>
        </w:rPr>
        <w:t>0</w:t>
      </w:r>
      <w:r w:rsidR="00A817CB">
        <w:rPr>
          <w:rFonts w:eastAsia="Times New Roman" w:cstheme="minorHAnsi"/>
          <w:bCs/>
          <w:sz w:val="24"/>
          <w:szCs w:val="24"/>
        </w:rPr>
        <w:t>41</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largo plazo por un monto de 1</w:t>
      </w:r>
      <w:r w:rsidR="00A817CB">
        <w:rPr>
          <w:rFonts w:eastAsia="Times New Roman" w:cstheme="minorHAnsi"/>
          <w:bCs/>
          <w:sz w:val="24"/>
          <w:szCs w:val="24"/>
        </w:rPr>
        <w:t>8</w:t>
      </w:r>
      <w:r w:rsidR="00175B27">
        <w:rPr>
          <w:rFonts w:eastAsia="Times New Roman" w:cstheme="minorHAnsi"/>
          <w:bCs/>
          <w:sz w:val="24"/>
          <w:szCs w:val="24"/>
        </w:rPr>
        <w:t>,</w:t>
      </w:r>
      <w:r w:rsidR="00A817CB">
        <w:rPr>
          <w:rFonts w:eastAsia="Times New Roman" w:cstheme="minorHAnsi"/>
          <w:bCs/>
          <w:sz w:val="24"/>
          <w:szCs w:val="24"/>
        </w:rPr>
        <w:t>91</w:t>
      </w:r>
      <w:r w:rsidR="00FF011A">
        <w:rPr>
          <w:rFonts w:eastAsia="Times New Roman" w:cstheme="minorHAnsi"/>
          <w:bCs/>
          <w:sz w:val="24"/>
          <w:szCs w:val="24"/>
        </w:rPr>
        <w:t>7</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A817CB">
              <w:rPr>
                <w:rFonts w:eastAsia="Times New Roman" w:cstheme="minorHAnsi"/>
                <w:bCs/>
                <w:sz w:val="24"/>
                <w:szCs w:val="24"/>
              </w:rPr>
              <w:t>6</w:t>
            </w:r>
            <w:r w:rsidR="00E755FE">
              <w:rPr>
                <w:rFonts w:eastAsia="Times New Roman" w:cstheme="minorHAnsi"/>
                <w:bCs/>
                <w:sz w:val="24"/>
                <w:szCs w:val="24"/>
              </w:rPr>
              <w:t>,</w:t>
            </w:r>
            <w:r w:rsidR="00A817CB">
              <w:rPr>
                <w:rFonts w:eastAsia="Times New Roman" w:cstheme="minorHAnsi"/>
                <w:bCs/>
                <w:sz w:val="24"/>
                <w:szCs w:val="24"/>
              </w:rPr>
              <w:t>105</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A817CB">
              <w:rPr>
                <w:rFonts w:eastAsia="Times New Roman" w:cstheme="minorHAnsi"/>
                <w:bCs/>
                <w:sz w:val="24"/>
                <w:szCs w:val="24"/>
              </w:rPr>
              <w:t>47,866</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A817CB">
              <w:rPr>
                <w:rFonts w:eastAsia="Times New Roman" w:cstheme="minorHAnsi"/>
                <w:bCs/>
                <w:sz w:val="24"/>
                <w:szCs w:val="24"/>
              </w:rPr>
              <w:t xml:space="preserve"> 6</w:t>
            </w:r>
            <w:r w:rsidR="00F87C4C">
              <w:rPr>
                <w:rFonts w:eastAsia="Times New Roman" w:cstheme="minorHAnsi"/>
                <w:bCs/>
                <w:sz w:val="24"/>
                <w:szCs w:val="24"/>
              </w:rPr>
              <w:t>,</w:t>
            </w:r>
            <w:r w:rsidR="00A817CB">
              <w:rPr>
                <w:rFonts w:eastAsia="Times New Roman" w:cstheme="minorHAnsi"/>
                <w:bCs/>
                <w:sz w:val="24"/>
                <w:szCs w:val="24"/>
              </w:rPr>
              <w:t>023</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A817CB">
              <w:rPr>
                <w:rFonts w:eastAsia="Times New Roman" w:cstheme="minorHAnsi"/>
                <w:bCs/>
                <w:sz w:val="24"/>
                <w:szCs w:val="24"/>
              </w:rPr>
              <w:t>1</w:t>
            </w:r>
            <w:r w:rsidR="00372A40">
              <w:rPr>
                <w:rFonts w:eastAsia="Times New Roman" w:cstheme="minorHAnsi"/>
                <w:bCs/>
                <w:sz w:val="24"/>
                <w:szCs w:val="24"/>
              </w:rPr>
              <w:t>9</w:t>
            </w:r>
            <w:r w:rsidR="00202642">
              <w:rPr>
                <w:rFonts w:eastAsia="Times New Roman" w:cstheme="minorHAnsi"/>
                <w:bCs/>
                <w:sz w:val="24"/>
                <w:szCs w:val="24"/>
              </w:rPr>
              <w:t>,</w:t>
            </w:r>
            <w:r w:rsidR="00A817CB">
              <w:rPr>
                <w:rFonts w:eastAsia="Times New Roman" w:cstheme="minorHAnsi"/>
                <w:bCs/>
                <w:sz w:val="24"/>
                <w:szCs w:val="24"/>
              </w:rPr>
              <w:t>127</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A817CB">
              <w:rPr>
                <w:rFonts w:eastAsia="Times New Roman" w:cstheme="minorHAnsi"/>
                <w:bCs/>
                <w:sz w:val="24"/>
                <w:szCs w:val="24"/>
              </w:rPr>
              <w:t>22</w:t>
            </w:r>
            <w:r w:rsidR="00202642">
              <w:rPr>
                <w:rFonts w:eastAsia="Times New Roman" w:cstheme="minorHAnsi"/>
                <w:bCs/>
                <w:sz w:val="24"/>
                <w:szCs w:val="24"/>
              </w:rPr>
              <w:t>,</w:t>
            </w:r>
            <w:r w:rsidR="00A817CB">
              <w:rPr>
                <w:rFonts w:eastAsia="Times New Roman" w:cstheme="minorHAnsi"/>
                <w:bCs/>
                <w:sz w:val="24"/>
                <w:szCs w:val="24"/>
              </w:rPr>
              <w:t>315</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A817CB">
              <w:rPr>
                <w:rFonts w:eastAsia="Times New Roman" w:cstheme="minorHAnsi"/>
                <w:bCs/>
                <w:sz w:val="24"/>
                <w:szCs w:val="24"/>
              </w:rPr>
              <w:t>12</w:t>
            </w:r>
            <w:r>
              <w:rPr>
                <w:rFonts w:eastAsia="Times New Roman" w:cstheme="minorHAnsi"/>
                <w:bCs/>
                <w:sz w:val="24"/>
                <w:szCs w:val="24"/>
              </w:rPr>
              <w:t>,</w:t>
            </w:r>
            <w:r w:rsidR="00A817CB">
              <w:rPr>
                <w:rFonts w:eastAsia="Times New Roman" w:cstheme="minorHAnsi"/>
                <w:bCs/>
                <w:sz w:val="24"/>
                <w:szCs w:val="24"/>
              </w:rPr>
              <w:t>776</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A817CB">
              <w:rPr>
                <w:rFonts w:eastAsia="Times New Roman" w:cstheme="minorHAnsi"/>
                <w:bCs/>
                <w:sz w:val="24"/>
                <w:szCs w:val="24"/>
              </w:rPr>
              <w:t>857</w:t>
            </w:r>
            <w:r w:rsidRPr="00544232">
              <w:rPr>
                <w:rFonts w:eastAsia="Times New Roman" w:cstheme="minorHAnsi"/>
                <w:bCs/>
                <w:sz w:val="24"/>
                <w:szCs w:val="24"/>
              </w:rPr>
              <w:t xml:space="preserve"> millones de pesos y por Otros Gastos </w:t>
            </w:r>
            <w:r w:rsidR="00A817CB">
              <w:rPr>
                <w:rFonts w:eastAsia="Times New Roman" w:cstheme="minorHAnsi"/>
                <w:bCs/>
                <w:sz w:val="24"/>
                <w:szCs w:val="24"/>
              </w:rPr>
              <w:t>44</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A817CB">
              <w:rPr>
                <w:rFonts w:eastAsia="Times New Roman" w:cstheme="minorHAnsi"/>
                <w:bCs/>
                <w:sz w:val="24"/>
                <w:szCs w:val="24"/>
              </w:rPr>
              <w:t>55</w:t>
            </w:r>
            <w:r w:rsidR="00F52D46">
              <w:rPr>
                <w:rFonts w:eastAsia="Times New Roman" w:cstheme="minorHAnsi"/>
                <w:bCs/>
                <w:sz w:val="24"/>
                <w:szCs w:val="24"/>
              </w:rPr>
              <w:t>,</w:t>
            </w:r>
            <w:r w:rsidR="00A817CB">
              <w:rPr>
                <w:rFonts w:eastAsia="Times New Roman" w:cstheme="minorHAnsi"/>
                <w:bCs/>
                <w:sz w:val="24"/>
                <w:szCs w:val="24"/>
              </w:rPr>
              <w:t>119</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771ECA" w:rsidRPr="003818ED">
        <w:rPr>
          <w:rFonts w:eastAsia="Times New Roman" w:cstheme="minorHAnsi"/>
          <w:bCs/>
          <w:sz w:val="24"/>
          <w:szCs w:val="24"/>
        </w:rPr>
        <w:t xml:space="preserve">importe de </w:t>
      </w:r>
      <w:r w:rsidR="00A817CB">
        <w:rPr>
          <w:rFonts w:eastAsia="Times New Roman" w:cstheme="minorHAnsi"/>
          <w:bCs/>
          <w:sz w:val="24"/>
          <w:szCs w:val="24"/>
        </w:rPr>
        <w:t>4</w:t>
      </w:r>
      <w:r w:rsidR="00F52D46">
        <w:rPr>
          <w:rFonts w:eastAsia="Times New Roman" w:cstheme="minorHAnsi"/>
          <w:bCs/>
          <w:sz w:val="24"/>
          <w:szCs w:val="24"/>
        </w:rPr>
        <w:t>,</w:t>
      </w:r>
      <w:r w:rsidR="00A817CB">
        <w:rPr>
          <w:rFonts w:eastAsia="Times New Roman" w:cstheme="minorHAnsi"/>
          <w:bCs/>
          <w:sz w:val="24"/>
          <w:szCs w:val="24"/>
        </w:rPr>
        <w:t>875</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89"/>
        <w:gridCol w:w="1416"/>
        <w:gridCol w:w="1415"/>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8" w:type="dxa"/>
          </w:tcPr>
          <w:p w:rsidR="00203405" w:rsidRPr="00771ECA" w:rsidRDefault="00372A40" w:rsidP="007F4504">
            <w:pPr>
              <w:jc w:val="right"/>
              <w:rPr>
                <w:rFonts w:eastAsia="Times New Roman" w:cstheme="minorHAnsi"/>
                <w:bCs/>
                <w:sz w:val="24"/>
                <w:szCs w:val="24"/>
              </w:rPr>
            </w:pPr>
            <w:r>
              <w:rPr>
                <w:rFonts w:eastAsia="Times New Roman" w:cstheme="minorHAnsi"/>
                <w:bCs/>
                <w:sz w:val="24"/>
                <w:szCs w:val="24"/>
              </w:rPr>
              <w:t>10,310,276</w:t>
            </w:r>
          </w:p>
        </w:tc>
        <w:tc>
          <w:tcPr>
            <w:tcW w:w="1417" w:type="dxa"/>
          </w:tcPr>
          <w:p w:rsidR="00203405" w:rsidRPr="00771ECA" w:rsidRDefault="005A064A" w:rsidP="00CF2C06">
            <w:pPr>
              <w:jc w:val="right"/>
              <w:rPr>
                <w:rFonts w:eastAsia="Times New Roman" w:cstheme="minorHAnsi"/>
                <w:bCs/>
                <w:sz w:val="24"/>
                <w:szCs w:val="24"/>
              </w:rPr>
            </w:pPr>
            <w:r>
              <w:rPr>
                <w:rFonts w:eastAsia="Times New Roman" w:cstheme="minorHAnsi"/>
                <w:bCs/>
                <w:sz w:val="24"/>
                <w:szCs w:val="24"/>
              </w:rPr>
              <w:t>13</w:t>
            </w:r>
            <w:r w:rsidR="00203405">
              <w:rPr>
                <w:rFonts w:eastAsia="Times New Roman" w:cstheme="minorHAnsi"/>
                <w:bCs/>
                <w:sz w:val="24"/>
                <w:szCs w:val="24"/>
              </w:rPr>
              <w:t>,</w:t>
            </w:r>
            <w:r w:rsidR="00A817CB">
              <w:rPr>
                <w:rFonts w:eastAsia="Times New Roman" w:cstheme="minorHAnsi"/>
                <w:bCs/>
                <w:sz w:val="24"/>
                <w:szCs w:val="24"/>
              </w:rPr>
              <w:t>190</w:t>
            </w:r>
            <w:r w:rsidR="00203405">
              <w:rPr>
                <w:rFonts w:eastAsia="Times New Roman" w:cstheme="minorHAnsi"/>
                <w:bCs/>
                <w:sz w:val="24"/>
                <w:szCs w:val="24"/>
              </w:rPr>
              <w:t>,</w:t>
            </w:r>
            <w:r w:rsidR="00CF2C06">
              <w:rPr>
                <w:rFonts w:eastAsia="Times New Roman" w:cstheme="minorHAnsi"/>
                <w:bCs/>
                <w:sz w:val="24"/>
                <w:szCs w:val="24"/>
              </w:rPr>
              <w:t>102</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-4,317</w:t>
            </w:r>
          </w:p>
        </w:tc>
        <w:tc>
          <w:tcPr>
            <w:tcW w:w="1417" w:type="dxa"/>
          </w:tcPr>
          <w:p w:rsidR="00203405" w:rsidRPr="00771ECA" w:rsidRDefault="00CF2C06" w:rsidP="00CF2C06">
            <w:pPr>
              <w:jc w:val="right"/>
              <w:rPr>
                <w:rFonts w:eastAsia="Times New Roman" w:cstheme="minorHAnsi"/>
                <w:bCs/>
                <w:sz w:val="24"/>
                <w:szCs w:val="24"/>
              </w:rPr>
            </w:pPr>
            <w:r>
              <w:rPr>
                <w:rFonts w:eastAsia="Times New Roman" w:cstheme="minorHAnsi"/>
                <w:bCs/>
                <w:sz w:val="24"/>
                <w:szCs w:val="24"/>
              </w:rPr>
              <w:t>54</w:t>
            </w:r>
            <w:r w:rsidR="005A064A">
              <w:rPr>
                <w:rFonts w:eastAsia="Times New Roman" w:cstheme="minorHAnsi"/>
                <w:bCs/>
                <w:sz w:val="24"/>
                <w:szCs w:val="24"/>
              </w:rPr>
              <w:t>,</w:t>
            </w:r>
            <w:r>
              <w:rPr>
                <w:rFonts w:eastAsia="Times New Roman" w:cstheme="minorHAnsi"/>
                <w:bCs/>
                <w:sz w:val="24"/>
                <w:szCs w:val="24"/>
              </w:rPr>
              <w:t>216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Pr>
                <w:rFonts w:eastAsia="Times New Roman" w:cstheme="minorHAnsi"/>
                <w:bCs/>
                <w:sz w:val="24"/>
                <w:szCs w:val="24"/>
              </w:rPr>
              <w:t>Efectivo para Cambio en Cajas</w:t>
            </w:r>
          </w:p>
        </w:tc>
        <w:tc>
          <w:tcPr>
            <w:tcW w:w="1418" w:type="dxa"/>
          </w:tcPr>
          <w:p w:rsidR="00203405" w:rsidRDefault="00203405" w:rsidP="00372A40">
            <w:pPr>
              <w:jc w:val="right"/>
              <w:rPr>
                <w:rFonts w:eastAsia="Times New Roman" w:cstheme="minorHAnsi"/>
                <w:bCs/>
                <w:sz w:val="24"/>
                <w:szCs w:val="24"/>
              </w:rPr>
            </w:pPr>
            <w:r>
              <w:rPr>
                <w:rFonts w:eastAsia="Times New Roman" w:cstheme="minorHAnsi"/>
                <w:bCs/>
                <w:sz w:val="24"/>
                <w:szCs w:val="24"/>
              </w:rPr>
              <w:t>4</w:t>
            </w:r>
            <w:r w:rsidR="00372A40">
              <w:rPr>
                <w:rFonts w:eastAsia="Times New Roman" w:cstheme="minorHAnsi"/>
                <w:bCs/>
                <w:sz w:val="24"/>
                <w:szCs w:val="24"/>
              </w:rPr>
              <w:t>26</w:t>
            </w:r>
          </w:p>
        </w:tc>
        <w:tc>
          <w:tcPr>
            <w:tcW w:w="1417" w:type="dxa"/>
          </w:tcPr>
          <w:p w:rsidR="00203405" w:rsidRDefault="00EE2FA1" w:rsidP="00457355">
            <w:pPr>
              <w:jc w:val="right"/>
              <w:rPr>
                <w:rFonts w:eastAsia="Times New Roman" w:cstheme="minorHAnsi"/>
                <w:bCs/>
                <w:sz w:val="24"/>
                <w:szCs w:val="24"/>
              </w:rPr>
            </w:pPr>
            <w:r>
              <w:rPr>
                <w:rFonts w:eastAsia="Times New Roman" w:cstheme="minorHAnsi"/>
                <w:bCs/>
                <w:sz w:val="24"/>
                <w:szCs w:val="24"/>
              </w:rPr>
              <w:t>42</w:t>
            </w:r>
            <w:r w:rsidR="00457355">
              <w:rPr>
                <w:rFonts w:eastAsia="Times New Roman" w:cstheme="minorHAnsi"/>
                <w:bCs/>
                <w:sz w:val="24"/>
                <w:szCs w:val="24"/>
              </w:rPr>
              <w:t>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300,227</w:t>
            </w:r>
          </w:p>
        </w:tc>
        <w:tc>
          <w:tcPr>
            <w:tcW w:w="1417" w:type="dxa"/>
          </w:tcPr>
          <w:p w:rsidR="00203405" w:rsidRPr="00771ECA" w:rsidRDefault="00CF2C06" w:rsidP="00724C08">
            <w:pPr>
              <w:jc w:val="right"/>
              <w:rPr>
                <w:rFonts w:eastAsia="Times New Roman" w:cstheme="minorHAnsi"/>
                <w:bCs/>
                <w:sz w:val="24"/>
                <w:szCs w:val="24"/>
              </w:rPr>
            </w:pPr>
            <w:r>
              <w:rPr>
                <w:rFonts w:eastAsia="Times New Roman" w:cstheme="minorHAnsi"/>
                <w:bCs/>
                <w:sz w:val="24"/>
                <w:szCs w:val="24"/>
              </w:rPr>
              <w:t>231,874</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8" w:type="dxa"/>
            <w:shd w:val="clear" w:color="auto" w:fill="auto"/>
            <w:vAlign w:val="center"/>
          </w:tcPr>
          <w:p w:rsidR="00203405" w:rsidRPr="00D41E01" w:rsidRDefault="005A064A" w:rsidP="005A064A">
            <w:pPr>
              <w:jc w:val="right"/>
              <w:rPr>
                <w:rFonts w:eastAsia="Times New Roman" w:cstheme="minorHAnsi"/>
                <w:b/>
                <w:bCs/>
                <w:sz w:val="24"/>
                <w:szCs w:val="24"/>
              </w:rPr>
            </w:pPr>
            <w:r>
              <w:rPr>
                <w:rFonts w:eastAsia="Times New Roman" w:cstheme="minorHAnsi"/>
                <w:b/>
                <w:bCs/>
                <w:sz w:val="24"/>
                <w:szCs w:val="24"/>
              </w:rPr>
              <w:t>10</w:t>
            </w:r>
            <w:r w:rsidR="007F4504">
              <w:rPr>
                <w:rFonts w:eastAsia="Times New Roman" w:cstheme="minorHAnsi"/>
                <w:b/>
                <w:bCs/>
                <w:sz w:val="24"/>
                <w:szCs w:val="24"/>
              </w:rPr>
              <w:t>,</w:t>
            </w:r>
            <w:r>
              <w:rPr>
                <w:rFonts w:eastAsia="Times New Roman" w:cstheme="minorHAnsi"/>
                <w:b/>
                <w:bCs/>
                <w:sz w:val="24"/>
                <w:szCs w:val="24"/>
              </w:rPr>
              <w:t>606</w:t>
            </w:r>
            <w:r w:rsidR="00203405">
              <w:rPr>
                <w:rFonts w:eastAsia="Times New Roman" w:cstheme="minorHAnsi"/>
                <w:b/>
                <w:bCs/>
                <w:sz w:val="24"/>
                <w:szCs w:val="24"/>
              </w:rPr>
              <w:t>,</w:t>
            </w:r>
            <w:r>
              <w:rPr>
                <w:rFonts w:eastAsia="Times New Roman" w:cstheme="minorHAnsi"/>
                <w:b/>
                <w:bCs/>
                <w:sz w:val="24"/>
                <w:szCs w:val="24"/>
              </w:rPr>
              <w:t>612</w:t>
            </w:r>
          </w:p>
        </w:tc>
        <w:tc>
          <w:tcPr>
            <w:tcW w:w="1417" w:type="dxa"/>
            <w:shd w:val="clear" w:color="auto" w:fill="auto"/>
            <w:vAlign w:val="center"/>
          </w:tcPr>
          <w:p w:rsidR="00203405" w:rsidRPr="00D41E01" w:rsidRDefault="00EE2FA1" w:rsidP="00CF2C06">
            <w:pPr>
              <w:jc w:val="right"/>
              <w:rPr>
                <w:rFonts w:eastAsia="Times New Roman" w:cstheme="minorHAnsi"/>
                <w:b/>
                <w:bCs/>
                <w:sz w:val="24"/>
                <w:szCs w:val="24"/>
              </w:rPr>
            </w:pPr>
            <w:r>
              <w:rPr>
                <w:rFonts w:eastAsia="Times New Roman" w:cstheme="minorHAnsi"/>
                <w:b/>
                <w:bCs/>
                <w:sz w:val="24"/>
                <w:szCs w:val="24"/>
              </w:rPr>
              <w:t>1</w:t>
            </w:r>
            <w:r w:rsidR="005A064A">
              <w:rPr>
                <w:rFonts w:eastAsia="Times New Roman" w:cstheme="minorHAnsi"/>
                <w:b/>
                <w:bCs/>
                <w:sz w:val="24"/>
                <w:szCs w:val="24"/>
              </w:rPr>
              <w:t>3</w:t>
            </w:r>
            <w:r>
              <w:rPr>
                <w:rFonts w:eastAsia="Times New Roman" w:cstheme="minorHAnsi"/>
                <w:b/>
                <w:bCs/>
                <w:sz w:val="24"/>
                <w:szCs w:val="24"/>
              </w:rPr>
              <w:t>,</w:t>
            </w:r>
            <w:r w:rsidR="00CF2C06">
              <w:rPr>
                <w:rFonts w:eastAsia="Times New Roman" w:cstheme="minorHAnsi"/>
                <w:b/>
                <w:bCs/>
                <w:sz w:val="24"/>
                <w:szCs w:val="24"/>
              </w:rPr>
              <w:t>476</w:t>
            </w:r>
            <w:r w:rsidR="00203405">
              <w:rPr>
                <w:rFonts w:eastAsia="Times New Roman" w:cstheme="minorHAnsi"/>
                <w:b/>
                <w:bCs/>
                <w:sz w:val="24"/>
                <w:szCs w:val="24"/>
              </w:rPr>
              <w:t>,</w:t>
            </w:r>
            <w:r w:rsidR="00CF2C06">
              <w:rPr>
                <w:rFonts w:eastAsia="Times New Roman" w:cstheme="minorHAnsi"/>
                <w:b/>
                <w:bCs/>
                <w:sz w:val="24"/>
                <w:szCs w:val="24"/>
              </w:rPr>
              <w:t>618</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3503D6"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6BB030AB" wp14:editId="586C2032">
            <wp:extent cx="6120130" cy="3619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61950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3503D6"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143DAC9E" wp14:editId="442158B2">
            <wp:extent cx="6120130" cy="7127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27875"/>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2020</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lastRenderedPageBreak/>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511346" w:rsidP="00511346">
      <w:pPr>
        <w:tabs>
          <w:tab w:val="left" w:pos="6090"/>
        </w:tabs>
        <w:spacing w:after="0"/>
        <w:ind w:left="-284"/>
        <w:jc w:val="both"/>
        <w:rPr>
          <w:rFonts w:cstheme="minorHAnsi"/>
          <w:sz w:val="24"/>
          <w:szCs w:val="24"/>
        </w:rPr>
      </w:pPr>
      <w:r>
        <w:rPr>
          <w:rFonts w:cstheme="minorHAnsi"/>
          <w:sz w:val="24"/>
          <w:szCs w:val="24"/>
        </w:rPr>
        <w:tab/>
      </w:r>
    </w:p>
    <w:p w:rsidR="00511346" w:rsidRDefault="00511346" w:rsidP="00511346">
      <w:pPr>
        <w:tabs>
          <w:tab w:val="left" w:pos="6090"/>
        </w:tabs>
        <w:spacing w:after="0"/>
        <w:ind w:left="-284"/>
        <w:jc w:val="both"/>
        <w:rPr>
          <w:rFonts w:cstheme="minorHAnsi"/>
          <w:sz w:val="24"/>
          <w:szCs w:val="24"/>
        </w:rPr>
      </w:pPr>
    </w:p>
    <w:p w:rsidR="008F72C8" w:rsidRDefault="008F72C8" w:rsidP="002C213F">
      <w:pPr>
        <w:spacing w:after="0"/>
        <w:ind w:left="-284"/>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lastRenderedPageBreak/>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441D71" w:rsidP="00970DEF">
      <w:pPr>
        <w:pStyle w:val="Prrafodelista"/>
        <w:spacing w:after="0"/>
        <w:ind w:left="-851"/>
        <w:jc w:val="center"/>
        <w:rPr>
          <w:rFonts w:cstheme="minorHAnsi"/>
          <w:sz w:val="24"/>
          <w:szCs w:val="24"/>
        </w:rPr>
      </w:pPr>
      <w:r w:rsidRPr="00441D71">
        <w:rPr>
          <w:rFonts w:cstheme="minorHAnsi"/>
          <w:noProof/>
          <w:sz w:val="24"/>
          <w:szCs w:val="24"/>
        </w:rPr>
        <w:drawing>
          <wp:inline distT="0" distB="0" distL="0" distR="0">
            <wp:extent cx="6120130" cy="4658451"/>
            <wp:effectExtent l="0" t="0" r="0" b="0"/>
            <wp:docPr id="14" name="Imagen 14" descr="C:\Users\martha_martinez\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_martinez\Downloads\imag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658451"/>
                    </a:xfrm>
                    <a:prstGeom prst="rect">
                      <a:avLst/>
                    </a:prstGeom>
                    <a:noFill/>
                    <a:ln>
                      <a:noFill/>
                    </a:ln>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212284" w:rsidRDefault="00791991" w:rsidP="00511346">
      <w:pPr>
        <w:spacing w:after="0"/>
        <w:ind w:left="-284"/>
        <w:rPr>
          <w:b/>
          <w:sz w:val="24"/>
          <w:szCs w:val="24"/>
        </w:rPr>
      </w:pPr>
      <w:r>
        <w:rPr>
          <w:noProof/>
        </w:rPr>
        <w:drawing>
          <wp:inline distT="0" distB="0" distL="0" distR="0" wp14:anchorId="40EFC35D" wp14:editId="0C9141AE">
            <wp:extent cx="6120130" cy="3721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721100"/>
                    </a:xfrm>
                    <a:prstGeom prst="rect">
                      <a:avLst/>
                    </a:prstGeom>
                  </pic:spPr>
                </pic:pic>
              </a:graphicData>
            </a:graphic>
          </wp:inline>
        </w:drawing>
      </w:r>
    </w:p>
    <w:p w:rsidR="00791991" w:rsidRPr="005966E9" w:rsidRDefault="00791991" w:rsidP="00511346">
      <w:pPr>
        <w:spacing w:after="0"/>
        <w:ind w:left="-284"/>
        <w:rPr>
          <w:b/>
          <w:sz w:val="24"/>
          <w:szCs w:val="24"/>
        </w:rPr>
      </w:pPr>
      <w:r>
        <w:rPr>
          <w:noProof/>
        </w:rPr>
        <w:drawing>
          <wp:inline distT="0" distB="0" distL="0" distR="0" wp14:anchorId="726C72D7" wp14:editId="4B00C31B">
            <wp:extent cx="6120130" cy="2552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52700"/>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3D35FB" w:rsidP="002C213F">
      <w:pPr>
        <w:pStyle w:val="Prrafodelista"/>
        <w:spacing w:after="0"/>
        <w:ind w:left="-284"/>
        <w:jc w:val="both"/>
        <w:rPr>
          <w:b/>
          <w:sz w:val="24"/>
          <w:szCs w:val="24"/>
        </w:rPr>
      </w:pP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165637">
        <w:rPr>
          <w:sz w:val="24"/>
          <w:szCs w:val="24"/>
        </w:rPr>
        <w:t>al 30 de junio</w:t>
      </w:r>
      <w:bookmarkStart w:id="0" w:name="_GoBack"/>
      <w:bookmarkEnd w:id="0"/>
      <w:r w:rsidR="00E5248F">
        <w:rPr>
          <w:sz w:val="24"/>
          <w:szCs w:val="24"/>
        </w:rPr>
        <w:t xml:space="preserve"> de 20</w:t>
      </w:r>
      <w:r w:rsidR="00165637">
        <w:rPr>
          <w:sz w:val="24"/>
          <w:szCs w:val="24"/>
        </w:rPr>
        <w:t>20</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 xml:space="preserve"> </w:t>
            </w:r>
            <w:r w:rsidR="00654210">
              <w:rPr>
                <w:sz w:val="24"/>
                <w:szCs w:val="24"/>
                <w:lang w:val="en-US"/>
              </w:rPr>
              <w:t>-</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4"/>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1F" w:rsidRDefault="003D6E1F" w:rsidP="00447943">
      <w:pPr>
        <w:spacing w:after="0" w:line="240" w:lineRule="auto"/>
      </w:pPr>
      <w:r>
        <w:separator/>
      </w:r>
    </w:p>
  </w:endnote>
  <w:endnote w:type="continuationSeparator" w:id="0">
    <w:p w:rsidR="003D6E1F" w:rsidRDefault="003D6E1F"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165637" w:rsidRPr="00165637">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1F" w:rsidRDefault="003D6E1F" w:rsidP="00447943">
      <w:pPr>
        <w:spacing w:after="0" w:line="240" w:lineRule="auto"/>
      </w:pPr>
      <w:r>
        <w:separator/>
      </w:r>
    </w:p>
  </w:footnote>
  <w:footnote w:type="continuationSeparator" w:id="0">
    <w:p w:rsidR="003D6E1F" w:rsidRDefault="003D6E1F"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818"/>
    <w:rsid w:val="004F19DD"/>
    <w:rsid w:val="004F2BD4"/>
    <w:rsid w:val="004F5BEC"/>
    <w:rsid w:val="004F5DD0"/>
    <w:rsid w:val="004F67EC"/>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47F3E"/>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D8F"/>
    <w:rsid w:val="00AF6423"/>
    <w:rsid w:val="00AF6A22"/>
    <w:rsid w:val="00B01463"/>
    <w:rsid w:val="00B060CF"/>
    <w:rsid w:val="00B11FEF"/>
    <w:rsid w:val="00B17B88"/>
    <w:rsid w:val="00B231E0"/>
    <w:rsid w:val="00B2401E"/>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1A97"/>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1E14"/>
    <w:rsid w:val="00CE1FE6"/>
    <w:rsid w:val="00CE20F5"/>
    <w:rsid w:val="00CE3CC6"/>
    <w:rsid w:val="00CF2C06"/>
    <w:rsid w:val="00CF341A"/>
    <w:rsid w:val="00CF474C"/>
    <w:rsid w:val="00CF5AAA"/>
    <w:rsid w:val="00D01761"/>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4C4D"/>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DD1F-5B11-4009-BC07-E6FFD819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4485</Words>
  <Characters>24669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4</cp:revision>
  <cp:lastPrinted>2020-04-22T16:36:00Z</cp:lastPrinted>
  <dcterms:created xsi:type="dcterms:W3CDTF">2020-07-31T22:55:00Z</dcterms:created>
  <dcterms:modified xsi:type="dcterms:W3CDTF">2020-07-31T23:35:00Z</dcterms:modified>
</cp:coreProperties>
</file>